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285A" w14:textId="6854CC28" w:rsidR="00EA184E" w:rsidRDefault="00EA184E" w:rsidP="0044335B">
      <w:pPr>
        <w:widowControl w:val="0"/>
        <w:autoSpaceDE w:val="0"/>
        <w:autoSpaceDN w:val="0"/>
        <w:adjustRightInd w:val="0"/>
        <w:spacing w:after="240"/>
        <w:jc w:val="both"/>
        <w:rPr>
          <w:rFonts w:ascii="Arial" w:hAnsi="Arial" w:cs="Arial"/>
          <w:b/>
          <w:bCs/>
        </w:rPr>
      </w:pPr>
    </w:p>
    <w:p w14:paraId="1828FC04" w14:textId="3909DE39" w:rsidR="00EE5AC5" w:rsidRDefault="00EE5AC5" w:rsidP="0044335B">
      <w:pPr>
        <w:widowControl w:val="0"/>
        <w:autoSpaceDE w:val="0"/>
        <w:autoSpaceDN w:val="0"/>
        <w:adjustRightInd w:val="0"/>
        <w:spacing w:after="240"/>
        <w:jc w:val="both"/>
        <w:rPr>
          <w:rFonts w:ascii="Arial" w:hAnsi="Arial" w:cs="Arial"/>
          <w:b/>
          <w:bCs/>
        </w:rPr>
      </w:pPr>
    </w:p>
    <w:p w14:paraId="4A9EF232" w14:textId="77777777" w:rsidR="00EE5AC5" w:rsidRDefault="00EE5AC5" w:rsidP="0044335B">
      <w:pPr>
        <w:widowControl w:val="0"/>
        <w:autoSpaceDE w:val="0"/>
        <w:autoSpaceDN w:val="0"/>
        <w:adjustRightInd w:val="0"/>
        <w:spacing w:after="240"/>
        <w:jc w:val="both"/>
        <w:rPr>
          <w:rFonts w:ascii="Arial" w:hAnsi="Arial" w:cs="Arial"/>
          <w:b/>
          <w:bCs/>
        </w:rPr>
      </w:pPr>
    </w:p>
    <w:p w14:paraId="2106E1AF" w14:textId="77777777" w:rsidR="00EA184E" w:rsidRDefault="00EA184E" w:rsidP="0044335B">
      <w:pPr>
        <w:widowControl w:val="0"/>
        <w:autoSpaceDE w:val="0"/>
        <w:autoSpaceDN w:val="0"/>
        <w:adjustRightInd w:val="0"/>
        <w:spacing w:after="240"/>
        <w:jc w:val="both"/>
        <w:rPr>
          <w:rFonts w:ascii="Arial" w:hAnsi="Arial" w:cs="Arial"/>
          <w:b/>
          <w:bCs/>
        </w:rPr>
      </w:pPr>
    </w:p>
    <w:p w14:paraId="72FF043E" w14:textId="347FBB8F" w:rsidR="00EA184E" w:rsidRPr="00B515B7" w:rsidRDefault="003233E3" w:rsidP="0044335B">
      <w:pPr>
        <w:widowControl w:val="0"/>
        <w:autoSpaceDE w:val="0"/>
        <w:autoSpaceDN w:val="0"/>
        <w:adjustRightInd w:val="0"/>
        <w:spacing w:after="240"/>
        <w:jc w:val="both"/>
        <w:rPr>
          <w:rFonts w:ascii="Arial" w:hAnsi="Arial" w:cs="Arial"/>
          <w:color w:val="1F497D" w:themeColor="text2"/>
          <w:sz w:val="36"/>
          <w:szCs w:val="36"/>
        </w:rPr>
      </w:pPr>
      <w:r>
        <w:rPr>
          <w:rFonts w:ascii="Arial" w:hAnsi="Arial" w:cs="Arial"/>
          <w:b/>
          <w:bCs/>
          <w:color w:val="1F497D" w:themeColor="text2"/>
          <w:sz w:val="36"/>
          <w:szCs w:val="36"/>
        </w:rPr>
        <w:t>Dealing and Advisory</w:t>
      </w:r>
      <w:r w:rsidR="00EA184E" w:rsidRPr="00B515B7">
        <w:rPr>
          <w:rFonts w:ascii="Arial" w:hAnsi="Arial" w:cs="Arial"/>
          <w:b/>
          <w:bCs/>
          <w:color w:val="1F497D" w:themeColor="text2"/>
          <w:sz w:val="36"/>
          <w:szCs w:val="36"/>
        </w:rPr>
        <w:t xml:space="preserve"> supplement </w:t>
      </w:r>
    </w:p>
    <w:p w14:paraId="6ADDEF7C" w14:textId="39039288" w:rsidR="00B515B7" w:rsidRDefault="00B515B7" w:rsidP="00B515B7">
      <w:pPr>
        <w:tabs>
          <w:tab w:val="left" w:pos="2694"/>
        </w:tabs>
        <w:jc w:val="both"/>
        <w:rPr>
          <w:rFonts w:ascii="Arial" w:hAnsi="Arial" w:cs="Arial"/>
        </w:rPr>
      </w:pPr>
      <w:r w:rsidRPr="00EC159B">
        <w:rPr>
          <w:rFonts w:ascii="Arial" w:hAnsi="Arial" w:cs="Arial"/>
        </w:rPr>
        <w:t xml:space="preserve">This supplement form must be submitted by </w:t>
      </w:r>
      <w:r>
        <w:rPr>
          <w:rFonts w:ascii="Arial" w:hAnsi="Arial" w:cs="Arial"/>
        </w:rPr>
        <w:t>a</w:t>
      </w:r>
      <w:r w:rsidRPr="00EC159B">
        <w:rPr>
          <w:rFonts w:ascii="Arial" w:hAnsi="Arial" w:cs="Arial"/>
        </w:rPr>
        <w:t>pplicants</w:t>
      </w:r>
      <w:r>
        <w:rPr>
          <w:rFonts w:ascii="Arial" w:hAnsi="Arial" w:cs="Arial"/>
        </w:rPr>
        <w:t xml:space="preserve"> </w:t>
      </w:r>
      <w:r w:rsidRPr="00EC159B">
        <w:rPr>
          <w:rFonts w:ascii="Arial" w:hAnsi="Arial" w:cs="Arial"/>
        </w:rPr>
        <w:t>applying to conduct</w:t>
      </w:r>
      <w:r w:rsidR="00EA17F8">
        <w:rPr>
          <w:rFonts w:ascii="Arial" w:hAnsi="Arial" w:cs="Arial"/>
        </w:rPr>
        <w:t xml:space="preserve"> </w:t>
      </w:r>
      <w:r w:rsidR="00EA17F8" w:rsidRPr="00EA17F8">
        <w:rPr>
          <w:rFonts w:ascii="Arial" w:hAnsi="Arial" w:cs="Arial"/>
        </w:rPr>
        <w:t xml:space="preserve">one or more of the </w:t>
      </w:r>
      <w:r w:rsidR="00EA17F8">
        <w:rPr>
          <w:rFonts w:ascii="Arial" w:hAnsi="Arial" w:cs="Arial"/>
        </w:rPr>
        <w:t>Regulated Activities</w:t>
      </w:r>
      <w:r w:rsidR="00EA17F8" w:rsidRPr="00EA17F8">
        <w:rPr>
          <w:rFonts w:ascii="Arial" w:hAnsi="Arial" w:cs="Arial"/>
          <w:vertAlign w:val="superscript"/>
        </w:rPr>
        <w:footnoteReference w:id="2"/>
      </w:r>
      <w:r w:rsidR="00EA17F8" w:rsidRPr="00EC159B">
        <w:rPr>
          <w:rFonts w:ascii="Arial" w:hAnsi="Arial" w:cs="Arial"/>
        </w:rPr>
        <w:t xml:space="preserve"> </w:t>
      </w:r>
      <w:r w:rsidR="00EA17F8" w:rsidRPr="00EA17F8">
        <w:rPr>
          <w:rFonts w:ascii="Arial" w:hAnsi="Arial" w:cs="Arial"/>
        </w:rPr>
        <w:t>of Dealing in Investments as Principal, Dealing in Investments as Agent, Arranging Deals in Investments, or Advising on Investments</w:t>
      </w:r>
      <w:r w:rsidR="00833F67">
        <w:rPr>
          <w:rFonts w:ascii="Arial" w:hAnsi="Arial" w:cs="Arial"/>
        </w:rPr>
        <w:t xml:space="preserve"> or Credit Facility</w:t>
      </w:r>
      <w:r w:rsidR="0050296F">
        <w:rPr>
          <w:rFonts w:ascii="Arial" w:hAnsi="Arial" w:cs="Arial"/>
        </w:rPr>
        <w:t>. These</w:t>
      </w:r>
      <w:r w:rsidR="00892240">
        <w:rPr>
          <w:rFonts w:ascii="Arial" w:hAnsi="Arial" w:cs="Arial"/>
        </w:rPr>
        <w:t xml:space="preserve"> financial service</w:t>
      </w:r>
      <w:r w:rsidR="0050296F">
        <w:rPr>
          <w:rFonts w:ascii="Arial" w:hAnsi="Arial" w:cs="Arial"/>
        </w:rPr>
        <w:t>s</w:t>
      </w:r>
      <w:r w:rsidR="00892240">
        <w:rPr>
          <w:rFonts w:ascii="Arial" w:hAnsi="Arial" w:cs="Arial"/>
        </w:rPr>
        <w:t xml:space="preserve"> </w:t>
      </w:r>
      <w:r w:rsidR="0050296F">
        <w:rPr>
          <w:rFonts w:ascii="Arial" w:hAnsi="Arial" w:cs="Arial"/>
        </w:rPr>
        <w:t>are</w:t>
      </w:r>
      <w:r w:rsidRPr="00EC159B">
        <w:rPr>
          <w:rFonts w:ascii="Arial" w:hAnsi="Arial" w:cs="Arial"/>
        </w:rPr>
        <w:t xml:space="preserve"> defined in </w:t>
      </w:r>
      <w:r>
        <w:rPr>
          <w:rFonts w:ascii="Arial" w:hAnsi="Arial" w:cs="Arial"/>
        </w:rPr>
        <w:t>Schedule 1 of the AIFC General Rules</w:t>
      </w:r>
      <w:r w:rsidRPr="00EC159B">
        <w:rPr>
          <w:rFonts w:ascii="Arial" w:hAnsi="Arial" w:cs="Arial"/>
        </w:rPr>
        <w:t xml:space="preserve">. </w:t>
      </w:r>
    </w:p>
    <w:p w14:paraId="5F3952E5" w14:textId="77777777" w:rsidR="00B515B7" w:rsidRDefault="00B515B7" w:rsidP="00B515B7">
      <w:pPr>
        <w:tabs>
          <w:tab w:val="left" w:pos="2694"/>
        </w:tabs>
        <w:jc w:val="both"/>
        <w:rPr>
          <w:rFonts w:ascii="Arial" w:hAnsi="Arial" w:cs="Arial"/>
        </w:rPr>
      </w:pPr>
    </w:p>
    <w:p w14:paraId="352DF5EE" w14:textId="77777777" w:rsidR="00B515B7" w:rsidRDefault="00B515B7" w:rsidP="00B515B7">
      <w:pPr>
        <w:tabs>
          <w:tab w:val="left" w:pos="2694"/>
        </w:tabs>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3"/>
      </w:r>
      <w:r w:rsidRPr="00923653">
        <w:rPr>
          <w:rFonts w:ascii="Arial" w:hAnsi="Arial" w:cs="Arial"/>
        </w:rPr>
        <w:t xml:space="preserve"> will also have to complete the </w:t>
      </w:r>
      <w:r w:rsidRPr="002717C8">
        <w:rPr>
          <w:rFonts w:ascii="Arial" w:hAnsi="Arial" w:cs="Arial"/>
          <w:i/>
        </w:rPr>
        <w:t xml:space="preserve">Application for a </w:t>
      </w:r>
      <w:proofErr w:type="spellStart"/>
      <w:r w:rsidRPr="002717C8">
        <w:rPr>
          <w:rFonts w:ascii="Arial" w:hAnsi="Arial" w:cs="Arial"/>
          <w:i/>
        </w:rPr>
        <w:t>Licence</w:t>
      </w:r>
      <w:proofErr w:type="spellEnd"/>
      <w:r w:rsidRPr="002717C8">
        <w:rPr>
          <w:rFonts w:ascii="Arial" w:hAnsi="Arial" w:cs="Arial"/>
          <w:i/>
        </w:rPr>
        <w:t xml:space="preserve"> to carry on Regulated Activities</w:t>
      </w:r>
      <w:r>
        <w:rPr>
          <w:rFonts w:ascii="Arial" w:hAnsi="Arial" w:cs="Arial"/>
        </w:rPr>
        <w:t xml:space="preserve"> form. </w:t>
      </w:r>
      <w:r w:rsidRPr="00923653">
        <w:rPr>
          <w:rFonts w:ascii="Arial" w:hAnsi="Arial" w:cs="Arial"/>
        </w:rPr>
        <w:t xml:space="preserve">Depending on the suite of Regulated Activities your firm will be offering, there might be other forms or supplements that need to be completed and submitted.  Where you believe a question in this supplement may have already been answered in the </w:t>
      </w:r>
      <w:r w:rsidRPr="002717C8">
        <w:rPr>
          <w:rFonts w:ascii="Arial" w:hAnsi="Arial" w:cs="Arial"/>
          <w:i/>
        </w:rPr>
        <w:t xml:space="preserve">Application for a </w:t>
      </w:r>
      <w:proofErr w:type="spellStart"/>
      <w:r w:rsidRPr="002717C8">
        <w:rPr>
          <w:rFonts w:ascii="Arial" w:hAnsi="Arial" w:cs="Arial"/>
          <w:i/>
        </w:rPr>
        <w:t>Licence</w:t>
      </w:r>
      <w:proofErr w:type="spellEnd"/>
      <w:r w:rsidRPr="002717C8">
        <w:rPr>
          <w:rFonts w:ascii="Arial" w:hAnsi="Arial" w:cs="Arial"/>
          <w:i/>
        </w:rPr>
        <w:t xml:space="preserve"> to carry on Regulated Activities </w:t>
      </w:r>
      <w:r w:rsidRPr="00923653">
        <w:rPr>
          <w:rFonts w:ascii="Arial" w:hAnsi="Arial" w:cs="Arial"/>
        </w:rPr>
        <w:t>form or other forms then you may provide an unequivocal cross reference to the relevant section.</w:t>
      </w:r>
    </w:p>
    <w:p w14:paraId="3F408407" w14:textId="77777777" w:rsidR="00B515B7" w:rsidRPr="00EC159B" w:rsidRDefault="00B515B7" w:rsidP="00B515B7">
      <w:pPr>
        <w:tabs>
          <w:tab w:val="left" w:pos="2694"/>
        </w:tabs>
        <w:jc w:val="both"/>
        <w:rPr>
          <w:rFonts w:ascii="Arial" w:hAnsi="Arial" w:cs="Arial"/>
        </w:rPr>
      </w:pPr>
    </w:p>
    <w:p w14:paraId="2915CED8" w14:textId="2F4A3FE9" w:rsidR="00B515B7" w:rsidRPr="00923653" w:rsidRDefault="00B515B7" w:rsidP="00B515B7">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Pr>
          <w:rFonts w:ascii="Arial" w:hAnsi="Arial" w:cs="Arial"/>
        </w:rPr>
        <w:t>AIFC</w:t>
      </w:r>
      <w:r w:rsidR="00FF44B2">
        <w:rPr>
          <w:rFonts w:ascii="Arial" w:hAnsi="Arial" w:cs="Arial"/>
        </w:rPr>
        <w:t xml:space="preserve"> Regulations and</w:t>
      </w:r>
      <w:r>
        <w:rPr>
          <w:rFonts w:ascii="Arial" w:hAnsi="Arial" w:cs="Arial"/>
        </w:rPr>
        <w:t xml:space="preserve"> Rules</w:t>
      </w:r>
      <w:r w:rsidRPr="00923653">
        <w:rPr>
          <w:rFonts w:ascii="Arial" w:hAnsi="Arial" w:cs="Arial"/>
        </w:rPr>
        <w:t>.</w:t>
      </w:r>
      <w:r>
        <w:rPr>
          <w:rFonts w:ascii="Arial" w:hAnsi="Arial" w:cs="Arial"/>
        </w:rPr>
        <w:t xml:space="preserve"> </w:t>
      </w:r>
      <w:r w:rsidRPr="00923653">
        <w:rPr>
          <w:rFonts w:ascii="Arial" w:hAnsi="Arial" w:cs="Arial"/>
        </w:rPr>
        <w:t xml:space="preserve">However, these references are provided only as a guide and are not an </w:t>
      </w:r>
      <w:r>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44AD0731" w14:textId="77777777" w:rsidR="00B515B7" w:rsidRPr="00923653" w:rsidRDefault="00B515B7" w:rsidP="00B515B7">
      <w:pPr>
        <w:jc w:val="both"/>
        <w:rPr>
          <w:rFonts w:ascii="Arial" w:hAnsi="Arial" w:cs="Arial"/>
        </w:rPr>
      </w:pPr>
    </w:p>
    <w:p w14:paraId="3CF9AAA8" w14:textId="0291720E" w:rsidR="00B515B7" w:rsidRPr="00923653" w:rsidRDefault="00B515B7" w:rsidP="00B515B7">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5114D04A" w14:textId="77777777" w:rsidR="00B515B7" w:rsidRPr="00923653" w:rsidRDefault="00B515B7" w:rsidP="00B515B7">
      <w:pPr>
        <w:jc w:val="both"/>
        <w:rPr>
          <w:rFonts w:ascii="Arial" w:hAnsi="Arial" w:cs="Arial"/>
        </w:rPr>
      </w:pPr>
    </w:p>
    <w:p w14:paraId="268777E2" w14:textId="20D13092" w:rsidR="00B515B7" w:rsidRPr="00056D51" w:rsidRDefault="00B515B7" w:rsidP="00B515B7">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833F67">
        <w:rPr>
          <w:rFonts w:ascii="Arial" w:hAnsi="Arial" w:cs="Arial"/>
          <w:color w:val="000000" w:themeColor="text1"/>
        </w:rPr>
        <w:t>AIFC Glossary</w:t>
      </w:r>
      <w:r w:rsidR="00833F67"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01C7A770" w14:textId="2A8EA0E5" w:rsidR="00100C2E" w:rsidRPr="001D67AC" w:rsidRDefault="00B515B7" w:rsidP="00B515B7">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r w:rsidR="00C113B7">
        <w:rPr>
          <w:rFonts w:ascii="Arial" w:hAnsi="Arial" w:cs="Arial"/>
          <w:color w:val="000000" w:themeColor="text1"/>
        </w:rPr>
        <w:t xml:space="preserve"> </w:t>
      </w:r>
      <w:r w:rsidR="00100C2E" w:rsidRPr="00100C2E">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33A919AF" w14:textId="16C2585C" w:rsidR="005D386C" w:rsidRPr="00487170" w:rsidRDefault="00B515B7" w:rsidP="00487170">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0779D9" w:rsidRPr="00056D51" w14:paraId="6E8C2A42" w14:textId="77777777" w:rsidTr="009E0498">
        <w:trPr>
          <w:trHeight w:val="570"/>
        </w:trPr>
        <w:tc>
          <w:tcPr>
            <w:tcW w:w="9686" w:type="dxa"/>
            <w:shd w:val="clear" w:color="auto" w:fill="244061" w:themeFill="accent1" w:themeFillShade="80"/>
          </w:tcPr>
          <w:p w14:paraId="150150F9" w14:textId="77777777" w:rsidR="000779D9" w:rsidRPr="007E29E7" w:rsidRDefault="000779D9" w:rsidP="000779D9">
            <w:pPr>
              <w:pStyle w:val="ListParagraph"/>
              <w:numPr>
                <w:ilvl w:val="0"/>
                <w:numId w:val="8"/>
              </w:numPr>
              <w:spacing w:before="120" w:after="120" w:line="276" w:lineRule="auto"/>
              <w:jc w:val="center"/>
              <w:rPr>
                <w:rFonts w:ascii="Arial" w:hAnsi="Arial" w:cs="Arial"/>
                <w:b/>
                <w:color w:val="FFFFFF" w:themeColor="background1"/>
                <w:sz w:val="24"/>
                <w:szCs w:val="24"/>
              </w:rPr>
            </w:pPr>
            <w:bookmarkStart w:id="2" w:name="_Hlk501620366"/>
            <w:r w:rsidRPr="007E29E7">
              <w:rPr>
                <w:rFonts w:ascii="Arial" w:hAnsi="Arial" w:cs="Arial"/>
                <w:b/>
                <w:color w:val="FFFFFF" w:themeColor="background1"/>
                <w:sz w:val="24"/>
                <w:szCs w:val="24"/>
              </w:rPr>
              <w:lastRenderedPageBreak/>
              <w:t>Declaration by the applicant</w:t>
            </w:r>
          </w:p>
        </w:tc>
      </w:tr>
      <w:bookmarkEnd w:id="2"/>
    </w:tbl>
    <w:p w14:paraId="123E22F6" w14:textId="77777777" w:rsidR="000779D9" w:rsidRDefault="000779D9" w:rsidP="000779D9">
      <w:pPr>
        <w:widowControl w:val="0"/>
        <w:autoSpaceDE w:val="0"/>
        <w:autoSpaceDN w:val="0"/>
        <w:adjustRightInd w:val="0"/>
        <w:rPr>
          <w:rFonts w:ascii="Arial" w:hAnsi="Arial" w:cs="Arial"/>
        </w:rPr>
      </w:pPr>
    </w:p>
    <w:p w14:paraId="74CFE9F1"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bookmarkStart w:id="3"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538B9071" w14:textId="77777777" w:rsidR="00C113B7" w:rsidRDefault="00C113B7" w:rsidP="00C113B7">
      <w:pPr>
        <w:pStyle w:val="ListParagraph"/>
        <w:widowControl w:val="0"/>
        <w:tabs>
          <w:tab w:val="left" w:pos="567"/>
          <w:tab w:val="left" w:pos="1581"/>
        </w:tabs>
        <w:ind w:left="0" w:right="49"/>
        <w:jc w:val="both"/>
        <w:rPr>
          <w:rFonts w:ascii="Arial" w:hAnsi="Arial" w:cs="Arial"/>
          <w:sz w:val="24"/>
          <w:szCs w:val="24"/>
        </w:rPr>
      </w:pPr>
    </w:p>
    <w:p w14:paraId="6391AF8D" w14:textId="16911D35" w:rsidR="00C113B7" w:rsidRPr="00EF4CC3" w:rsidRDefault="00C113B7"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C113B7">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74EB3B1" w14:textId="77777777" w:rsidR="000779D9" w:rsidRPr="00EF4CC3" w:rsidRDefault="000779D9" w:rsidP="000779D9">
      <w:pPr>
        <w:widowControl w:val="0"/>
        <w:tabs>
          <w:tab w:val="left" w:pos="567"/>
          <w:tab w:val="left" w:pos="1581"/>
        </w:tabs>
        <w:ind w:right="49"/>
        <w:jc w:val="both"/>
        <w:rPr>
          <w:rFonts w:ascii="Arial" w:hAnsi="Arial" w:cs="Arial"/>
        </w:rPr>
      </w:pPr>
    </w:p>
    <w:p w14:paraId="515071EE"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62F8F21" w14:textId="77777777" w:rsidR="000779D9" w:rsidRPr="00EF4CC3" w:rsidRDefault="000779D9" w:rsidP="000779D9">
      <w:pPr>
        <w:widowControl w:val="0"/>
        <w:tabs>
          <w:tab w:val="left" w:pos="567"/>
          <w:tab w:val="left" w:pos="1581"/>
        </w:tabs>
        <w:ind w:right="49"/>
        <w:jc w:val="both"/>
        <w:rPr>
          <w:rFonts w:ascii="Arial" w:hAnsi="Arial" w:cs="Arial"/>
        </w:rPr>
      </w:pPr>
    </w:p>
    <w:p w14:paraId="3992AC65"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4AEC7C80" w14:textId="77777777" w:rsidR="000779D9" w:rsidRPr="00EF4CC3" w:rsidRDefault="000779D9" w:rsidP="000779D9">
      <w:pPr>
        <w:widowControl w:val="0"/>
        <w:tabs>
          <w:tab w:val="left" w:pos="567"/>
          <w:tab w:val="left" w:pos="1581"/>
        </w:tabs>
        <w:ind w:right="49"/>
        <w:jc w:val="both"/>
        <w:rPr>
          <w:rFonts w:ascii="Arial" w:hAnsi="Arial" w:cs="Arial"/>
        </w:rPr>
      </w:pPr>
    </w:p>
    <w:p w14:paraId="6D712439"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288783DD" w14:textId="77777777" w:rsidR="000779D9" w:rsidRPr="00EF4CC3" w:rsidRDefault="000779D9" w:rsidP="000779D9">
      <w:pPr>
        <w:widowControl w:val="0"/>
        <w:tabs>
          <w:tab w:val="left" w:pos="567"/>
          <w:tab w:val="left" w:pos="1581"/>
        </w:tabs>
        <w:ind w:right="49"/>
        <w:jc w:val="both"/>
        <w:rPr>
          <w:rFonts w:ascii="Arial" w:hAnsi="Arial" w:cs="Arial"/>
        </w:rPr>
      </w:pPr>
    </w:p>
    <w:p w14:paraId="71DA7126" w14:textId="77777777" w:rsidR="000779D9" w:rsidRPr="00EF4CC3"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3"/>
    <w:p w14:paraId="6433C406" w14:textId="77777777" w:rsidR="000779D9" w:rsidRPr="00056D51" w:rsidRDefault="000779D9" w:rsidP="000779D9">
      <w:pPr>
        <w:ind w:right="49"/>
        <w:rPr>
          <w:rFonts w:ascii="Arial" w:eastAsia="Calibri" w:hAnsi="Arial" w:cs="Arial"/>
        </w:rPr>
      </w:pPr>
    </w:p>
    <w:p w14:paraId="30F418E2" w14:textId="77777777" w:rsidR="000779D9" w:rsidRPr="00056D51" w:rsidRDefault="000779D9" w:rsidP="000779D9">
      <w:pPr>
        <w:ind w:right="49"/>
        <w:rPr>
          <w:rFonts w:ascii="Arial" w:eastAsia="Calibri" w:hAnsi="Arial" w:cs="Arial"/>
        </w:rPr>
      </w:pPr>
      <w:bookmarkStart w:id="4" w:name="_Hlk501620678"/>
    </w:p>
    <w:p w14:paraId="1F6B75DD" w14:textId="77777777" w:rsidR="000779D9" w:rsidRPr="00056D51" w:rsidRDefault="000779D9" w:rsidP="000779D9">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78955801" w14:textId="77777777" w:rsidR="000779D9" w:rsidRPr="00056D51" w:rsidRDefault="000779D9" w:rsidP="000779D9">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4"/>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145E0B76" w14:textId="77777777" w:rsidR="000779D9" w:rsidRPr="00056D51" w:rsidRDefault="000779D9" w:rsidP="000779D9">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0779D9" w:rsidRPr="00056D51" w14:paraId="1B571F9B" w14:textId="77777777" w:rsidTr="009E0498">
        <w:trPr>
          <w:trHeight w:val="850"/>
        </w:trPr>
        <w:tc>
          <w:tcPr>
            <w:tcW w:w="9854" w:type="dxa"/>
            <w:shd w:val="pct10" w:color="auto" w:fill="auto"/>
          </w:tcPr>
          <w:p w14:paraId="76EA7353" w14:textId="77777777" w:rsidR="000779D9" w:rsidRPr="00056D51" w:rsidDel="00E64E33" w:rsidRDefault="000779D9" w:rsidP="009E0498">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0779D9" w:rsidRPr="00056D51" w14:paraId="37E6D2BA" w14:textId="77777777" w:rsidTr="009E0498">
        <w:trPr>
          <w:trHeight w:val="522"/>
        </w:trPr>
        <w:tc>
          <w:tcPr>
            <w:tcW w:w="9854" w:type="dxa"/>
          </w:tcPr>
          <w:p w14:paraId="786438E0" w14:textId="77777777" w:rsidR="000779D9" w:rsidRPr="00056D51" w:rsidRDefault="000779D9" w:rsidP="009E0498">
            <w:pPr>
              <w:ind w:right="49"/>
              <w:rPr>
                <w:rFonts w:ascii="Arial" w:hAnsi="Arial"/>
                <w:sz w:val="24"/>
                <w:szCs w:val="24"/>
              </w:rPr>
            </w:pPr>
          </w:p>
        </w:tc>
      </w:tr>
      <w:bookmarkEnd w:id="4"/>
    </w:tbl>
    <w:p w14:paraId="2D2EEC08" w14:textId="77777777" w:rsidR="000779D9" w:rsidRPr="00056D51" w:rsidRDefault="000779D9" w:rsidP="000779D9">
      <w:pPr>
        <w:pStyle w:val="ListParagraph"/>
        <w:widowControl w:val="0"/>
        <w:tabs>
          <w:tab w:val="left" w:pos="567"/>
          <w:tab w:val="left" w:pos="1581"/>
        </w:tabs>
        <w:spacing w:before="1"/>
        <w:ind w:left="0" w:right="49"/>
        <w:contextualSpacing w:val="0"/>
        <w:rPr>
          <w:rFonts w:ascii="Arial" w:hAnsi="Arial" w:cs="Arial"/>
          <w:sz w:val="24"/>
          <w:szCs w:val="24"/>
        </w:rPr>
      </w:pPr>
    </w:p>
    <w:p w14:paraId="7C21CD2A" w14:textId="77777777" w:rsidR="000779D9" w:rsidRDefault="000779D9" w:rsidP="000779D9">
      <w:pPr>
        <w:rPr>
          <w:rFonts w:ascii="Arial" w:hAnsi="Arial" w:cs="Arial"/>
          <w:b/>
          <w:bCs/>
          <w:lang w:val="en-GB"/>
        </w:rPr>
      </w:pPr>
      <w:r>
        <w:rPr>
          <w:rFonts w:ascii="Arial" w:hAnsi="Arial" w:cs="Arial"/>
          <w:b/>
          <w:bCs/>
          <w:lang w:val="en-GB"/>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7434EB" w:rsidRPr="00AC74EA" w14:paraId="279CA23E" w14:textId="77777777" w:rsidTr="009E0498">
        <w:trPr>
          <w:trHeight w:val="570"/>
        </w:trPr>
        <w:tc>
          <w:tcPr>
            <w:tcW w:w="9686" w:type="dxa"/>
            <w:shd w:val="clear" w:color="auto" w:fill="244061" w:themeFill="accent1" w:themeFillShade="80"/>
          </w:tcPr>
          <w:p w14:paraId="3B3CD3F8" w14:textId="2A8D5579" w:rsidR="007434EB" w:rsidRPr="00AC74EA" w:rsidRDefault="00712029" w:rsidP="00414461">
            <w:pPr>
              <w:pStyle w:val="ListParagraph"/>
              <w:numPr>
                <w:ilvl w:val="0"/>
                <w:numId w:val="8"/>
              </w:numPr>
              <w:spacing w:before="120" w:after="12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Business model</w:t>
            </w:r>
          </w:p>
        </w:tc>
      </w:tr>
    </w:tbl>
    <w:p w14:paraId="20B9939D" w14:textId="77777777" w:rsidR="00712029" w:rsidRDefault="00712029" w:rsidP="00712029">
      <w:pPr>
        <w:pStyle w:val="ListParagraph"/>
        <w:ind w:left="567"/>
        <w:jc w:val="both"/>
        <w:rPr>
          <w:rFonts w:ascii="Arial" w:hAnsi="Arial" w:cs="Arial"/>
          <w:sz w:val="24"/>
          <w:szCs w:val="24"/>
        </w:rPr>
      </w:pPr>
    </w:p>
    <w:p w14:paraId="7D76B644" w14:textId="043FDACD" w:rsidR="00712029" w:rsidRPr="00712029" w:rsidRDefault="00712029" w:rsidP="00712029">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t>Indicate the projected number of Clients you will have at the end of your first full year of business.  Include the anticipated business revenues or fees: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712029" w:rsidRPr="00712029" w14:paraId="521E652C" w14:textId="77777777" w:rsidTr="009E0498">
        <w:tc>
          <w:tcPr>
            <w:tcW w:w="8903" w:type="dxa"/>
          </w:tcPr>
          <w:p w14:paraId="4E3B404B"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731C2059" w14:textId="77777777" w:rsidR="00712029" w:rsidRPr="00712029" w:rsidRDefault="00712029" w:rsidP="00712029">
      <w:pPr>
        <w:ind w:left="567" w:hanging="567"/>
        <w:jc w:val="both"/>
        <w:rPr>
          <w:rFonts w:ascii="Arial" w:eastAsiaTheme="minorHAnsi" w:hAnsi="Arial" w:cs="Arial"/>
          <w:lang w:val="en-GB" w:eastAsia="en-US"/>
        </w:rPr>
      </w:pPr>
    </w:p>
    <w:p w14:paraId="1911EE98" w14:textId="77777777" w:rsidR="00712029" w:rsidRPr="00712029" w:rsidRDefault="00712029" w:rsidP="00712029">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t>Indicate the business activities that your firm will undertake and the estimated percentage of the total business revenue attributed to each in the first year of operation:</w:t>
      </w:r>
    </w:p>
    <w:tbl>
      <w:tblPr>
        <w:tblStyle w:val="TableGrid"/>
        <w:tblW w:w="8916" w:type="dxa"/>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6208"/>
        <w:gridCol w:w="709"/>
        <w:gridCol w:w="567"/>
        <w:gridCol w:w="1432"/>
      </w:tblGrid>
      <w:tr w:rsidR="00712029" w:rsidRPr="00712029" w14:paraId="2A70F120" w14:textId="77777777" w:rsidTr="00712029">
        <w:trPr>
          <w:trHeight w:val="429"/>
        </w:trPr>
        <w:tc>
          <w:tcPr>
            <w:tcW w:w="6208" w:type="dxa"/>
          </w:tcPr>
          <w:p w14:paraId="5FFB0539" w14:textId="77777777" w:rsidR="00712029" w:rsidRPr="00712029" w:rsidRDefault="00712029" w:rsidP="00712029">
            <w:pPr>
              <w:ind w:left="9"/>
              <w:jc w:val="center"/>
              <w:rPr>
                <w:rFonts w:ascii="Arial" w:hAnsi="Arial" w:cs="Arial"/>
                <w:b/>
                <w:sz w:val="24"/>
                <w:szCs w:val="24"/>
                <w:lang w:val="en-GB"/>
              </w:rPr>
            </w:pPr>
            <w:r w:rsidRPr="00712029">
              <w:rPr>
                <w:rFonts w:ascii="Arial" w:hAnsi="Arial" w:cs="Arial"/>
                <w:b/>
                <w:sz w:val="24"/>
                <w:szCs w:val="24"/>
                <w:lang w:val="en-GB"/>
              </w:rPr>
              <w:t>Activity</w:t>
            </w:r>
          </w:p>
        </w:tc>
        <w:tc>
          <w:tcPr>
            <w:tcW w:w="709" w:type="dxa"/>
          </w:tcPr>
          <w:p w14:paraId="3C044AE7"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Yes</w:t>
            </w:r>
          </w:p>
        </w:tc>
        <w:tc>
          <w:tcPr>
            <w:tcW w:w="567" w:type="dxa"/>
          </w:tcPr>
          <w:p w14:paraId="0BBA48AD"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No</w:t>
            </w:r>
          </w:p>
        </w:tc>
        <w:tc>
          <w:tcPr>
            <w:tcW w:w="1432" w:type="dxa"/>
          </w:tcPr>
          <w:p w14:paraId="0482D6A3"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Value or %</w:t>
            </w:r>
          </w:p>
        </w:tc>
      </w:tr>
      <w:tr w:rsidR="00712029" w:rsidRPr="00712029" w14:paraId="6AF665DA" w14:textId="77777777" w:rsidTr="00712029">
        <w:tc>
          <w:tcPr>
            <w:tcW w:w="6208" w:type="dxa"/>
          </w:tcPr>
          <w:p w14:paraId="49DF1E28" w14:textId="77777777" w:rsidR="00712029" w:rsidRPr="00712029" w:rsidRDefault="00712029" w:rsidP="00712029">
            <w:pPr>
              <w:ind w:left="9"/>
              <w:jc w:val="both"/>
              <w:rPr>
                <w:rFonts w:ascii="Arial" w:hAnsi="Arial" w:cs="Arial"/>
                <w:b/>
                <w:i/>
                <w:sz w:val="24"/>
                <w:szCs w:val="24"/>
                <w:lang w:val="en-GB"/>
              </w:rPr>
            </w:pPr>
            <w:r w:rsidRPr="00712029">
              <w:rPr>
                <w:rFonts w:ascii="Arial" w:hAnsi="Arial" w:cs="Arial"/>
                <w:b/>
                <w:i/>
                <w:sz w:val="24"/>
                <w:szCs w:val="24"/>
                <w:lang w:val="en-GB"/>
              </w:rPr>
              <w:t>Arranging Deals in Investments</w:t>
            </w:r>
          </w:p>
        </w:tc>
        <w:tc>
          <w:tcPr>
            <w:tcW w:w="709" w:type="dxa"/>
          </w:tcPr>
          <w:p w14:paraId="0F94D3F4" w14:textId="77777777" w:rsidR="00712029" w:rsidRPr="00712029" w:rsidRDefault="00712029" w:rsidP="00712029">
            <w:pPr>
              <w:ind w:left="567" w:hanging="567"/>
              <w:jc w:val="both"/>
              <w:rPr>
                <w:rFonts w:ascii="Arial" w:hAnsi="Arial" w:cs="Arial"/>
                <w:b/>
                <w:sz w:val="24"/>
                <w:szCs w:val="24"/>
                <w:lang w:val="en-GB"/>
              </w:rPr>
            </w:pPr>
          </w:p>
        </w:tc>
        <w:tc>
          <w:tcPr>
            <w:tcW w:w="567" w:type="dxa"/>
          </w:tcPr>
          <w:p w14:paraId="5B93EEF0" w14:textId="77777777" w:rsidR="00712029" w:rsidRPr="00712029" w:rsidRDefault="00712029" w:rsidP="00712029">
            <w:pPr>
              <w:ind w:left="567" w:hanging="567"/>
              <w:jc w:val="both"/>
              <w:rPr>
                <w:rFonts w:ascii="Arial" w:hAnsi="Arial" w:cs="Arial"/>
                <w:b/>
                <w:sz w:val="24"/>
                <w:szCs w:val="24"/>
                <w:lang w:val="en-GB"/>
              </w:rPr>
            </w:pPr>
          </w:p>
        </w:tc>
        <w:tc>
          <w:tcPr>
            <w:tcW w:w="1432" w:type="dxa"/>
          </w:tcPr>
          <w:p w14:paraId="554248F9" w14:textId="77777777" w:rsidR="00712029" w:rsidRPr="00712029" w:rsidRDefault="00712029" w:rsidP="00712029">
            <w:pPr>
              <w:ind w:left="567" w:hanging="567"/>
              <w:jc w:val="both"/>
              <w:rPr>
                <w:rFonts w:ascii="Arial" w:hAnsi="Arial" w:cs="Arial"/>
                <w:b/>
                <w:sz w:val="24"/>
                <w:szCs w:val="24"/>
                <w:lang w:val="en-GB"/>
              </w:rPr>
            </w:pPr>
          </w:p>
        </w:tc>
      </w:tr>
      <w:tr w:rsidR="00712029" w:rsidRPr="00712029" w14:paraId="57123BE3" w14:textId="77777777" w:rsidTr="00712029">
        <w:tc>
          <w:tcPr>
            <w:tcW w:w="6208" w:type="dxa"/>
          </w:tcPr>
          <w:p w14:paraId="09AE3D88" w14:textId="24CB1BFE"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Exchange traded securities including shares, bonds, Funds and </w:t>
            </w:r>
            <w:r>
              <w:rPr>
                <w:rFonts w:ascii="Arial" w:hAnsi="Arial" w:cs="Arial"/>
                <w:sz w:val="24"/>
                <w:szCs w:val="24"/>
                <w:lang w:val="en-GB"/>
              </w:rPr>
              <w:t>t</w:t>
            </w:r>
            <w:r w:rsidRPr="00712029">
              <w:rPr>
                <w:rFonts w:ascii="Arial" w:hAnsi="Arial" w:cs="Arial"/>
                <w:sz w:val="24"/>
                <w:szCs w:val="24"/>
                <w:lang w:val="en-GB"/>
              </w:rPr>
              <w:t>rusts:</w:t>
            </w:r>
          </w:p>
        </w:tc>
        <w:tc>
          <w:tcPr>
            <w:tcW w:w="709" w:type="dxa"/>
          </w:tcPr>
          <w:p w14:paraId="7C7B3C15"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1EBCDBE1"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4E4C1018"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42C954B8" w14:textId="77777777" w:rsidTr="00712029">
        <w:tc>
          <w:tcPr>
            <w:tcW w:w="6208" w:type="dxa"/>
          </w:tcPr>
          <w:p w14:paraId="71906521"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Exchange traded Derivatives:</w:t>
            </w:r>
          </w:p>
        </w:tc>
        <w:tc>
          <w:tcPr>
            <w:tcW w:w="709" w:type="dxa"/>
          </w:tcPr>
          <w:p w14:paraId="4B8491E2"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37DD5E59"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42794E9A"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055C62F2" w14:textId="77777777" w:rsidTr="00712029">
        <w:tc>
          <w:tcPr>
            <w:tcW w:w="6208" w:type="dxa"/>
          </w:tcPr>
          <w:p w14:paraId="40C3EA77"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Over-the-counter instruments including Derivatives, swaps, Structured Products, money market instruments, and bonds:</w:t>
            </w:r>
          </w:p>
        </w:tc>
        <w:tc>
          <w:tcPr>
            <w:tcW w:w="709" w:type="dxa"/>
          </w:tcPr>
          <w:p w14:paraId="3706A5FB"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151A645B"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3088A631"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563476AA" w14:textId="77777777" w:rsidTr="00712029">
        <w:tc>
          <w:tcPr>
            <w:tcW w:w="6208" w:type="dxa"/>
          </w:tcPr>
          <w:p w14:paraId="444C99C8" w14:textId="437A0E72"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Collective Investment </w:t>
            </w:r>
            <w:r>
              <w:rPr>
                <w:rFonts w:ascii="Arial" w:hAnsi="Arial" w:cs="Arial"/>
                <w:sz w:val="24"/>
                <w:szCs w:val="24"/>
                <w:lang w:val="en-GB"/>
              </w:rPr>
              <w:t>Schemes</w:t>
            </w:r>
            <w:r w:rsidRPr="00712029">
              <w:rPr>
                <w:rFonts w:ascii="Arial" w:hAnsi="Arial" w:cs="Arial"/>
                <w:sz w:val="24"/>
                <w:szCs w:val="24"/>
                <w:lang w:val="en-GB"/>
              </w:rPr>
              <w:t>:</w:t>
            </w:r>
          </w:p>
        </w:tc>
        <w:tc>
          <w:tcPr>
            <w:tcW w:w="709" w:type="dxa"/>
          </w:tcPr>
          <w:p w14:paraId="49B46C84"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29B3DC25"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74114943"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42EAFF1E" w14:textId="77777777" w:rsidTr="00712029">
        <w:tc>
          <w:tcPr>
            <w:tcW w:w="6208" w:type="dxa"/>
          </w:tcPr>
          <w:p w14:paraId="35B9442E" w14:textId="39FA4521" w:rsidR="00712029" w:rsidRPr="00712029" w:rsidRDefault="00712029" w:rsidP="00712029">
            <w:pPr>
              <w:ind w:left="9"/>
              <w:jc w:val="both"/>
              <w:rPr>
                <w:rFonts w:ascii="Arial" w:hAnsi="Arial" w:cs="Arial"/>
                <w:b/>
                <w:i/>
                <w:sz w:val="24"/>
                <w:szCs w:val="24"/>
                <w:lang w:val="en-GB"/>
              </w:rPr>
            </w:pPr>
            <w:r w:rsidRPr="00712029">
              <w:rPr>
                <w:rFonts w:ascii="Arial" w:hAnsi="Arial" w:cs="Arial"/>
                <w:b/>
                <w:i/>
                <w:sz w:val="24"/>
                <w:szCs w:val="24"/>
                <w:lang w:val="en-GB"/>
              </w:rPr>
              <w:t xml:space="preserve">Advising on Investments </w:t>
            </w:r>
            <w:r w:rsidR="00833F67">
              <w:rPr>
                <w:rFonts w:ascii="Arial" w:hAnsi="Arial" w:cs="Arial"/>
                <w:b/>
                <w:i/>
                <w:sz w:val="24"/>
                <w:szCs w:val="24"/>
                <w:lang w:val="en-GB"/>
              </w:rPr>
              <w:t>or Credit Facility</w:t>
            </w:r>
          </w:p>
        </w:tc>
        <w:tc>
          <w:tcPr>
            <w:tcW w:w="709" w:type="dxa"/>
          </w:tcPr>
          <w:p w14:paraId="1F796C2F" w14:textId="77777777" w:rsidR="00712029" w:rsidRPr="00712029" w:rsidRDefault="00712029" w:rsidP="00712029">
            <w:pPr>
              <w:ind w:left="567" w:hanging="567"/>
              <w:jc w:val="both"/>
              <w:rPr>
                <w:rFonts w:ascii="Arial" w:hAnsi="Arial" w:cs="Arial"/>
                <w:b/>
                <w:i/>
                <w:sz w:val="24"/>
                <w:szCs w:val="24"/>
                <w:lang w:val="en-GB"/>
              </w:rPr>
            </w:pPr>
          </w:p>
        </w:tc>
        <w:tc>
          <w:tcPr>
            <w:tcW w:w="567" w:type="dxa"/>
          </w:tcPr>
          <w:p w14:paraId="103807E4" w14:textId="77777777" w:rsidR="00712029" w:rsidRPr="00712029" w:rsidRDefault="00712029" w:rsidP="00712029">
            <w:pPr>
              <w:ind w:left="567" w:hanging="567"/>
              <w:jc w:val="both"/>
              <w:rPr>
                <w:rFonts w:ascii="Arial" w:hAnsi="Arial" w:cs="Arial"/>
                <w:b/>
                <w:i/>
                <w:sz w:val="24"/>
                <w:szCs w:val="24"/>
                <w:lang w:val="en-GB"/>
              </w:rPr>
            </w:pPr>
          </w:p>
        </w:tc>
        <w:tc>
          <w:tcPr>
            <w:tcW w:w="1432" w:type="dxa"/>
          </w:tcPr>
          <w:p w14:paraId="50936DE0" w14:textId="77777777" w:rsidR="00712029" w:rsidRPr="00712029" w:rsidRDefault="00712029" w:rsidP="00712029">
            <w:pPr>
              <w:ind w:left="567" w:hanging="567"/>
              <w:jc w:val="both"/>
              <w:rPr>
                <w:rFonts w:ascii="Arial" w:hAnsi="Arial" w:cs="Arial"/>
                <w:b/>
                <w:i/>
                <w:sz w:val="24"/>
                <w:szCs w:val="24"/>
                <w:lang w:val="en-GB"/>
              </w:rPr>
            </w:pPr>
          </w:p>
        </w:tc>
      </w:tr>
      <w:tr w:rsidR="00712029" w:rsidRPr="00712029" w14:paraId="013F7A5D" w14:textId="77777777" w:rsidTr="00712029">
        <w:tc>
          <w:tcPr>
            <w:tcW w:w="6208" w:type="dxa"/>
          </w:tcPr>
          <w:p w14:paraId="4C4A0C72" w14:textId="6808A78D"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Exchange traded securities including shares, bonds, Funds and </w:t>
            </w:r>
            <w:r>
              <w:rPr>
                <w:rFonts w:ascii="Arial" w:hAnsi="Arial" w:cs="Arial"/>
                <w:sz w:val="24"/>
                <w:szCs w:val="24"/>
                <w:lang w:val="en-GB"/>
              </w:rPr>
              <w:t>t</w:t>
            </w:r>
            <w:r w:rsidRPr="00712029">
              <w:rPr>
                <w:rFonts w:ascii="Arial" w:hAnsi="Arial" w:cs="Arial"/>
                <w:sz w:val="24"/>
                <w:szCs w:val="24"/>
                <w:lang w:val="en-GB"/>
              </w:rPr>
              <w:t>rusts:</w:t>
            </w:r>
          </w:p>
        </w:tc>
        <w:tc>
          <w:tcPr>
            <w:tcW w:w="709" w:type="dxa"/>
          </w:tcPr>
          <w:p w14:paraId="4FCC567E"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6D1EFAE2"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588BAB82"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5914F616" w14:textId="77777777" w:rsidTr="00712029">
        <w:tc>
          <w:tcPr>
            <w:tcW w:w="6208" w:type="dxa"/>
          </w:tcPr>
          <w:p w14:paraId="7B45F6FB"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Exchange traded Derivatives:</w:t>
            </w:r>
          </w:p>
        </w:tc>
        <w:tc>
          <w:tcPr>
            <w:tcW w:w="709" w:type="dxa"/>
          </w:tcPr>
          <w:p w14:paraId="4620FA0A"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7A252493"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7DF91E86"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12B24D97" w14:textId="77777777" w:rsidTr="00712029">
        <w:tc>
          <w:tcPr>
            <w:tcW w:w="6208" w:type="dxa"/>
          </w:tcPr>
          <w:p w14:paraId="14318A21" w14:textId="14410E56"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Over-the-counter instruments including Derivatives, swaps, Structured Products, money market instruments, and bonds</w:t>
            </w:r>
            <w:r w:rsidR="0049131D">
              <w:rPr>
                <w:rFonts w:ascii="Arial" w:hAnsi="Arial" w:cs="Arial"/>
                <w:sz w:val="24"/>
                <w:szCs w:val="24"/>
                <w:lang w:val="en-GB"/>
              </w:rPr>
              <w:t>:</w:t>
            </w:r>
          </w:p>
        </w:tc>
        <w:tc>
          <w:tcPr>
            <w:tcW w:w="709" w:type="dxa"/>
          </w:tcPr>
          <w:p w14:paraId="4B8CC930"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730F0EED"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23BC87CB"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2B9843B1" w14:textId="77777777" w:rsidTr="00712029">
        <w:tc>
          <w:tcPr>
            <w:tcW w:w="6208" w:type="dxa"/>
          </w:tcPr>
          <w:p w14:paraId="5D576156" w14:textId="4DAF7640"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Collective Investment </w:t>
            </w:r>
            <w:r>
              <w:rPr>
                <w:rFonts w:ascii="Arial" w:hAnsi="Arial" w:cs="Arial"/>
                <w:sz w:val="24"/>
                <w:szCs w:val="24"/>
                <w:lang w:val="en-GB"/>
              </w:rPr>
              <w:t>Schemes</w:t>
            </w:r>
            <w:r w:rsidRPr="00712029">
              <w:rPr>
                <w:rFonts w:ascii="Arial" w:hAnsi="Arial" w:cs="Arial"/>
                <w:sz w:val="24"/>
                <w:szCs w:val="24"/>
                <w:lang w:val="en-GB"/>
              </w:rPr>
              <w:t>:</w:t>
            </w:r>
          </w:p>
        </w:tc>
        <w:tc>
          <w:tcPr>
            <w:tcW w:w="709" w:type="dxa"/>
          </w:tcPr>
          <w:p w14:paraId="7C3E0504"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7253766B"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06F2CC67"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05B51506" w14:textId="77777777" w:rsidTr="00712029">
        <w:tc>
          <w:tcPr>
            <w:tcW w:w="6208" w:type="dxa"/>
          </w:tcPr>
          <w:p w14:paraId="0B69A097"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Other (Specify):</w:t>
            </w:r>
          </w:p>
        </w:tc>
        <w:tc>
          <w:tcPr>
            <w:tcW w:w="709" w:type="dxa"/>
          </w:tcPr>
          <w:p w14:paraId="6E4278AD"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071C6B0E"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6843A245"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1996B64F" w14:textId="77777777" w:rsidTr="00712029">
        <w:tc>
          <w:tcPr>
            <w:tcW w:w="6208" w:type="dxa"/>
          </w:tcPr>
          <w:p w14:paraId="0EF4467F" w14:textId="77777777" w:rsidR="00712029" w:rsidRPr="00712029" w:rsidRDefault="00712029" w:rsidP="00712029">
            <w:pPr>
              <w:ind w:left="9"/>
              <w:jc w:val="both"/>
              <w:rPr>
                <w:rFonts w:ascii="Arial" w:hAnsi="Arial" w:cs="Arial"/>
                <w:b/>
                <w:i/>
                <w:sz w:val="24"/>
                <w:szCs w:val="24"/>
                <w:lang w:val="en-GB"/>
              </w:rPr>
            </w:pPr>
            <w:r w:rsidRPr="00712029">
              <w:rPr>
                <w:rFonts w:ascii="Arial" w:hAnsi="Arial" w:cs="Arial"/>
                <w:b/>
                <w:i/>
                <w:sz w:val="24"/>
                <w:szCs w:val="24"/>
                <w:lang w:val="en-GB"/>
              </w:rPr>
              <w:t>Dealing in Investments as Agent</w:t>
            </w:r>
          </w:p>
        </w:tc>
        <w:tc>
          <w:tcPr>
            <w:tcW w:w="709" w:type="dxa"/>
          </w:tcPr>
          <w:p w14:paraId="4C413C45" w14:textId="77777777" w:rsidR="00712029" w:rsidRPr="00712029" w:rsidRDefault="00712029" w:rsidP="00712029">
            <w:pPr>
              <w:ind w:left="567" w:hanging="567"/>
              <w:jc w:val="both"/>
              <w:rPr>
                <w:rFonts w:ascii="Arial" w:hAnsi="Arial" w:cs="Arial"/>
                <w:b/>
                <w:i/>
                <w:sz w:val="24"/>
                <w:szCs w:val="24"/>
                <w:lang w:val="en-GB"/>
              </w:rPr>
            </w:pPr>
          </w:p>
        </w:tc>
        <w:tc>
          <w:tcPr>
            <w:tcW w:w="567" w:type="dxa"/>
          </w:tcPr>
          <w:p w14:paraId="7DB1FD80" w14:textId="77777777" w:rsidR="00712029" w:rsidRPr="00712029" w:rsidRDefault="00712029" w:rsidP="00712029">
            <w:pPr>
              <w:ind w:left="567" w:hanging="567"/>
              <w:jc w:val="both"/>
              <w:rPr>
                <w:rFonts w:ascii="Arial" w:hAnsi="Arial" w:cs="Arial"/>
                <w:b/>
                <w:i/>
                <w:sz w:val="24"/>
                <w:szCs w:val="24"/>
                <w:lang w:val="en-GB"/>
              </w:rPr>
            </w:pPr>
          </w:p>
        </w:tc>
        <w:tc>
          <w:tcPr>
            <w:tcW w:w="1432" w:type="dxa"/>
          </w:tcPr>
          <w:p w14:paraId="305720EB" w14:textId="77777777" w:rsidR="00712029" w:rsidRPr="00712029" w:rsidRDefault="00712029" w:rsidP="00712029">
            <w:pPr>
              <w:ind w:left="567" w:hanging="567"/>
              <w:jc w:val="both"/>
              <w:rPr>
                <w:rFonts w:ascii="Arial" w:hAnsi="Arial" w:cs="Arial"/>
                <w:b/>
                <w:i/>
                <w:sz w:val="24"/>
                <w:szCs w:val="24"/>
                <w:lang w:val="en-GB"/>
              </w:rPr>
            </w:pPr>
          </w:p>
        </w:tc>
      </w:tr>
      <w:tr w:rsidR="00712029" w:rsidRPr="00712029" w14:paraId="1BDF71A3" w14:textId="77777777" w:rsidTr="00712029">
        <w:tc>
          <w:tcPr>
            <w:tcW w:w="6208" w:type="dxa"/>
          </w:tcPr>
          <w:p w14:paraId="45DCAD7F" w14:textId="29C58D5C"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Exchange traded securities including shares, bonds, Funds and </w:t>
            </w:r>
            <w:r>
              <w:rPr>
                <w:rFonts w:ascii="Arial" w:hAnsi="Arial" w:cs="Arial"/>
                <w:sz w:val="24"/>
                <w:szCs w:val="24"/>
                <w:lang w:val="en-GB"/>
              </w:rPr>
              <w:t>t</w:t>
            </w:r>
            <w:r w:rsidRPr="00712029">
              <w:rPr>
                <w:rFonts w:ascii="Arial" w:hAnsi="Arial" w:cs="Arial"/>
                <w:sz w:val="24"/>
                <w:szCs w:val="24"/>
                <w:lang w:val="en-GB"/>
              </w:rPr>
              <w:t>rusts:</w:t>
            </w:r>
          </w:p>
        </w:tc>
        <w:tc>
          <w:tcPr>
            <w:tcW w:w="709" w:type="dxa"/>
          </w:tcPr>
          <w:p w14:paraId="3DF8AED6"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08582F72"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3A20EAE0"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215BE068" w14:textId="77777777" w:rsidTr="00712029">
        <w:tc>
          <w:tcPr>
            <w:tcW w:w="6208" w:type="dxa"/>
          </w:tcPr>
          <w:p w14:paraId="66174105"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Exchange traded Derivatives:</w:t>
            </w:r>
          </w:p>
        </w:tc>
        <w:tc>
          <w:tcPr>
            <w:tcW w:w="709" w:type="dxa"/>
          </w:tcPr>
          <w:p w14:paraId="25264F9C"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49C8D1A3"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381F3C5F"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126FCEC3" w14:textId="77777777" w:rsidTr="00712029">
        <w:tc>
          <w:tcPr>
            <w:tcW w:w="6208" w:type="dxa"/>
          </w:tcPr>
          <w:p w14:paraId="5CBCABBA"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Over-the-counter instruments including Derivatives, swaps, Structured Products, money market instruments, and bonds:</w:t>
            </w:r>
          </w:p>
        </w:tc>
        <w:tc>
          <w:tcPr>
            <w:tcW w:w="709" w:type="dxa"/>
          </w:tcPr>
          <w:p w14:paraId="4D14F661"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383CD216"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10547095"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03678598" w14:textId="77777777" w:rsidTr="00712029">
        <w:tc>
          <w:tcPr>
            <w:tcW w:w="6208" w:type="dxa"/>
          </w:tcPr>
          <w:p w14:paraId="665BBF04" w14:textId="7DEF94B8"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Collective Investment </w:t>
            </w:r>
            <w:r>
              <w:rPr>
                <w:rFonts w:ascii="Arial" w:hAnsi="Arial" w:cs="Arial"/>
                <w:sz w:val="24"/>
                <w:szCs w:val="24"/>
                <w:lang w:val="en-GB"/>
              </w:rPr>
              <w:t>Schemes</w:t>
            </w:r>
            <w:r w:rsidRPr="00712029">
              <w:rPr>
                <w:rFonts w:ascii="Arial" w:hAnsi="Arial" w:cs="Arial"/>
                <w:sz w:val="24"/>
                <w:szCs w:val="24"/>
                <w:lang w:val="en-GB"/>
              </w:rPr>
              <w:t>:</w:t>
            </w:r>
          </w:p>
        </w:tc>
        <w:tc>
          <w:tcPr>
            <w:tcW w:w="709" w:type="dxa"/>
          </w:tcPr>
          <w:p w14:paraId="68BBF4C9"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0DAAB849"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696C8642"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19C02950" w14:textId="77777777" w:rsidTr="00712029">
        <w:tc>
          <w:tcPr>
            <w:tcW w:w="6208" w:type="dxa"/>
          </w:tcPr>
          <w:p w14:paraId="357CD61C"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Other (Specify):</w:t>
            </w:r>
          </w:p>
        </w:tc>
        <w:tc>
          <w:tcPr>
            <w:tcW w:w="709" w:type="dxa"/>
          </w:tcPr>
          <w:p w14:paraId="112ECB5D"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4B3C646F"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66E5D242"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057D80AD" w14:textId="77777777" w:rsidTr="00712029">
        <w:tc>
          <w:tcPr>
            <w:tcW w:w="6208" w:type="dxa"/>
          </w:tcPr>
          <w:p w14:paraId="7BFD94C9" w14:textId="77777777" w:rsidR="00712029" w:rsidRPr="00712029" w:rsidRDefault="00712029" w:rsidP="00712029">
            <w:pPr>
              <w:ind w:left="9"/>
              <w:jc w:val="both"/>
              <w:rPr>
                <w:rFonts w:ascii="Arial" w:hAnsi="Arial" w:cs="Arial"/>
                <w:b/>
                <w:i/>
                <w:sz w:val="24"/>
                <w:szCs w:val="24"/>
                <w:lang w:val="en-GB"/>
              </w:rPr>
            </w:pPr>
            <w:r w:rsidRPr="00712029">
              <w:rPr>
                <w:rFonts w:ascii="Arial" w:hAnsi="Arial" w:cs="Arial"/>
                <w:b/>
                <w:i/>
                <w:sz w:val="24"/>
                <w:szCs w:val="24"/>
                <w:lang w:val="en-GB"/>
              </w:rPr>
              <w:t>Dealing in Investments as Principal</w:t>
            </w:r>
          </w:p>
        </w:tc>
        <w:tc>
          <w:tcPr>
            <w:tcW w:w="709" w:type="dxa"/>
          </w:tcPr>
          <w:p w14:paraId="4A41E219" w14:textId="77777777" w:rsidR="00712029" w:rsidRPr="00712029" w:rsidRDefault="00712029" w:rsidP="00712029">
            <w:pPr>
              <w:ind w:left="567" w:hanging="567"/>
              <w:jc w:val="both"/>
              <w:rPr>
                <w:rFonts w:ascii="Arial" w:hAnsi="Arial" w:cs="Arial"/>
                <w:b/>
                <w:i/>
                <w:sz w:val="24"/>
                <w:szCs w:val="24"/>
                <w:lang w:val="en-GB"/>
              </w:rPr>
            </w:pPr>
          </w:p>
        </w:tc>
        <w:tc>
          <w:tcPr>
            <w:tcW w:w="567" w:type="dxa"/>
          </w:tcPr>
          <w:p w14:paraId="5C8BB551" w14:textId="77777777" w:rsidR="00712029" w:rsidRPr="00712029" w:rsidRDefault="00712029" w:rsidP="00712029">
            <w:pPr>
              <w:ind w:left="567" w:hanging="567"/>
              <w:jc w:val="both"/>
              <w:rPr>
                <w:rFonts w:ascii="Arial" w:hAnsi="Arial" w:cs="Arial"/>
                <w:b/>
                <w:i/>
                <w:sz w:val="24"/>
                <w:szCs w:val="24"/>
                <w:lang w:val="en-GB"/>
              </w:rPr>
            </w:pPr>
          </w:p>
        </w:tc>
        <w:tc>
          <w:tcPr>
            <w:tcW w:w="1432" w:type="dxa"/>
          </w:tcPr>
          <w:p w14:paraId="76B7D544" w14:textId="77777777" w:rsidR="00712029" w:rsidRPr="00712029" w:rsidRDefault="00712029" w:rsidP="00712029">
            <w:pPr>
              <w:ind w:left="567" w:hanging="567"/>
              <w:jc w:val="both"/>
              <w:rPr>
                <w:rFonts w:ascii="Arial" w:hAnsi="Arial" w:cs="Arial"/>
                <w:b/>
                <w:i/>
                <w:sz w:val="24"/>
                <w:szCs w:val="24"/>
                <w:lang w:val="en-GB"/>
              </w:rPr>
            </w:pPr>
          </w:p>
        </w:tc>
      </w:tr>
      <w:tr w:rsidR="00712029" w:rsidRPr="00712029" w14:paraId="383323AD" w14:textId="77777777" w:rsidTr="00712029">
        <w:tc>
          <w:tcPr>
            <w:tcW w:w="6208" w:type="dxa"/>
          </w:tcPr>
          <w:p w14:paraId="3ABE20C6" w14:textId="56AA5690"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 xml:space="preserve">Exchange traded securities including shares, bonds, Funds and </w:t>
            </w:r>
            <w:r>
              <w:rPr>
                <w:rFonts w:ascii="Arial" w:hAnsi="Arial" w:cs="Arial"/>
                <w:sz w:val="24"/>
                <w:szCs w:val="24"/>
                <w:lang w:val="en-GB"/>
              </w:rPr>
              <w:t>t</w:t>
            </w:r>
            <w:r w:rsidRPr="00712029">
              <w:rPr>
                <w:rFonts w:ascii="Arial" w:hAnsi="Arial" w:cs="Arial"/>
                <w:sz w:val="24"/>
                <w:szCs w:val="24"/>
                <w:lang w:val="en-GB"/>
              </w:rPr>
              <w:t>rusts:</w:t>
            </w:r>
          </w:p>
        </w:tc>
        <w:tc>
          <w:tcPr>
            <w:tcW w:w="709" w:type="dxa"/>
          </w:tcPr>
          <w:p w14:paraId="2AFC210D"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258CB063"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21579671"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341D300F" w14:textId="77777777" w:rsidTr="00712029">
        <w:tc>
          <w:tcPr>
            <w:tcW w:w="6208" w:type="dxa"/>
          </w:tcPr>
          <w:p w14:paraId="1CEC6749"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Exchange traded Derivatives:</w:t>
            </w:r>
          </w:p>
        </w:tc>
        <w:tc>
          <w:tcPr>
            <w:tcW w:w="709" w:type="dxa"/>
          </w:tcPr>
          <w:p w14:paraId="34432147"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0E607EC2"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26EB836A"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31134156" w14:textId="77777777" w:rsidTr="00712029">
        <w:tc>
          <w:tcPr>
            <w:tcW w:w="6208" w:type="dxa"/>
          </w:tcPr>
          <w:p w14:paraId="5EC96BEA"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Over-the-counter instruments including Derivatives, swaps, Structured Products, money market instruments, and bonds:</w:t>
            </w:r>
          </w:p>
        </w:tc>
        <w:tc>
          <w:tcPr>
            <w:tcW w:w="709" w:type="dxa"/>
          </w:tcPr>
          <w:p w14:paraId="703DE03F"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10D0D4D7"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3681EAA3"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0A3BF39B" w14:textId="77777777" w:rsidTr="00712029">
        <w:tc>
          <w:tcPr>
            <w:tcW w:w="6208" w:type="dxa"/>
          </w:tcPr>
          <w:p w14:paraId="4ABE5D14" w14:textId="77777777" w:rsidR="00712029" w:rsidRPr="00712029" w:rsidRDefault="00712029" w:rsidP="00712029">
            <w:pPr>
              <w:ind w:left="9"/>
              <w:jc w:val="both"/>
              <w:rPr>
                <w:rFonts w:ascii="Arial" w:hAnsi="Arial" w:cs="Arial"/>
                <w:sz w:val="24"/>
                <w:szCs w:val="24"/>
                <w:lang w:val="en-GB"/>
              </w:rPr>
            </w:pPr>
            <w:r w:rsidRPr="00712029">
              <w:rPr>
                <w:rFonts w:ascii="Arial" w:hAnsi="Arial" w:cs="Arial"/>
                <w:sz w:val="24"/>
                <w:szCs w:val="24"/>
                <w:lang w:val="en-GB"/>
              </w:rPr>
              <w:t>Other (Specify):</w:t>
            </w:r>
          </w:p>
        </w:tc>
        <w:tc>
          <w:tcPr>
            <w:tcW w:w="709" w:type="dxa"/>
          </w:tcPr>
          <w:p w14:paraId="0405A422" w14:textId="77777777" w:rsidR="00712029" w:rsidRPr="00712029" w:rsidRDefault="00712029" w:rsidP="00712029">
            <w:pPr>
              <w:ind w:left="567" w:hanging="567"/>
              <w:jc w:val="both"/>
              <w:rPr>
                <w:rFonts w:ascii="Arial" w:hAnsi="Arial" w:cs="Arial"/>
                <w:sz w:val="24"/>
                <w:szCs w:val="24"/>
                <w:lang w:val="en-GB"/>
              </w:rPr>
            </w:pPr>
          </w:p>
        </w:tc>
        <w:tc>
          <w:tcPr>
            <w:tcW w:w="567" w:type="dxa"/>
          </w:tcPr>
          <w:p w14:paraId="677653FD" w14:textId="77777777" w:rsidR="00712029" w:rsidRPr="00712029" w:rsidRDefault="00712029" w:rsidP="00712029">
            <w:pPr>
              <w:ind w:left="567" w:hanging="567"/>
              <w:jc w:val="both"/>
              <w:rPr>
                <w:rFonts w:ascii="Arial" w:hAnsi="Arial" w:cs="Arial"/>
                <w:sz w:val="24"/>
                <w:szCs w:val="24"/>
                <w:lang w:val="en-GB"/>
              </w:rPr>
            </w:pPr>
          </w:p>
        </w:tc>
        <w:tc>
          <w:tcPr>
            <w:tcW w:w="1432" w:type="dxa"/>
          </w:tcPr>
          <w:p w14:paraId="4180EE1F" w14:textId="77777777" w:rsidR="00712029" w:rsidRPr="00712029" w:rsidRDefault="00712029" w:rsidP="00712029">
            <w:pPr>
              <w:ind w:left="567" w:hanging="567"/>
              <w:jc w:val="both"/>
              <w:rPr>
                <w:rFonts w:ascii="Arial" w:hAnsi="Arial" w:cs="Arial"/>
                <w:sz w:val="24"/>
                <w:szCs w:val="24"/>
                <w:lang w:val="en-GB"/>
              </w:rPr>
            </w:pPr>
          </w:p>
        </w:tc>
      </w:tr>
    </w:tbl>
    <w:p w14:paraId="38FD3AB4" w14:textId="77777777" w:rsidR="00712029" w:rsidRPr="00712029" w:rsidRDefault="00712029" w:rsidP="00712029">
      <w:pPr>
        <w:ind w:left="567" w:hanging="567"/>
        <w:jc w:val="both"/>
        <w:rPr>
          <w:rFonts w:ascii="Arial" w:eastAsiaTheme="minorHAnsi" w:hAnsi="Arial" w:cs="Arial"/>
          <w:lang w:val="en-GB" w:eastAsia="en-US"/>
        </w:rPr>
      </w:pPr>
    </w:p>
    <w:p w14:paraId="65C1EA79" w14:textId="77777777" w:rsidR="00712029" w:rsidRPr="00712029" w:rsidRDefault="00712029" w:rsidP="00712029">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lastRenderedPageBreak/>
        <w:t>For your first year of operation provide the estimated percentage of revenues from your targeted Clients:</w:t>
      </w:r>
    </w:p>
    <w:tbl>
      <w:tblPr>
        <w:tblStyle w:val="TableGrid"/>
        <w:tblW w:w="8911" w:type="dxa"/>
        <w:tblInd w:w="70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15"/>
        <w:gridCol w:w="4096"/>
      </w:tblGrid>
      <w:tr w:rsidR="00712029" w:rsidRPr="00E133AD" w14:paraId="688BBBF2" w14:textId="77777777" w:rsidTr="009E0498">
        <w:tc>
          <w:tcPr>
            <w:tcW w:w="4815" w:type="dxa"/>
          </w:tcPr>
          <w:p w14:paraId="5B4D110D" w14:textId="77777777" w:rsidR="00712029" w:rsidRPr="00E133AD" w:rsidRDefault="00712029" w:rsidP="00E133AD">
            <w:pPr>
              <w:ind w:left="567" w:hanging="567"/>
              <w:jc w:val="center"/>
              <w:rPr>
                <w:rFonts w:ascii="Arial" w:hAnsi="Arial" w:cs="Arial"/>
                <w:b/>
                <w:sz w:val="24"/>
                <w:szCs w:val="24"/>
                <w:lang w:val="en-GB"/>
              </w:rPr>
            </w:pPr>
            <w:r w:rsidRPr="00E133AD">
              <w:rPr>
                <w:rFonts w:ascii="Arial" w:hAnsi="Arial" w:cs="Arial"/>
                <w:b/>
                <w:sz w:val="24"/>
                <w:szCs w:val="24"/>
                <w:lang w:val="en-GB"/>
              </w:rPr>
              <w:t>Type of Clients</w:t>
            </w:r>
          </w:p>
        </w:tc>
        <w:tc>
          <w:tcPr>
            <w:tcW w:w="4096" w:type="dxa"/>
          </w:tcPr>
          <w:p w14:paraId="36940B8C" w14:textId="77777777" w:rsidR="00712029" w:rsidRPr="00E133AD" w:rsidRDefault="00712029" w:rsidP="00E133AD">
            <w:pPr>
              <w:ind w:left="567" w:hanging="567"/>
              <w:jc w:val="center"/>
              <w:rPr>
                <w:rFonts w:ascii="Arial" w:hAnsi="Arial" w:cs="Arial"/>
                <w:b/>
                <w:sz w:val="24"/>
                <w:szCs w:val="24"/>
                <w:lang w:val="en-GB"/>
              </w:rPr>
            </w:pPr>
            <w:r w:rsidRPr="00E133AD">
              <w:rPr>
                <w:rFonts w:ascii="Arial" w:hAnsi="Arial" w:cs="Arial"/>
                <w:b/>
                <w:sz w:val="24"/>
                <w:szCs w:val="24"/>
                <w:lang w:val="en-GB"/>
              </w:rPr>
              <w:t>%</w:t>
            </w:r>
          </w:p>
        </w:tc>
      </w:tr>
      <w:tr w:rsidR="00712029" w:rsidRPr="00712029" w14:paraId="6955E5D1" w14:textId="77777777" w:rsidTr="009E0498">
        <w:tc>
          <w:tcPr>
            <w:tcW w:w="4815" w:type="dxa"/>
          </w:tcPr>
          <w:p w14:paraId="53B614B2"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Retail Clients:</w:t>
            </w:r>
          </w:p>
        </w:tc>
        <w:tc>
          <w:tcPr>
            <w:tcW w:w="4096" w:type="dxa"/>
          </w:tcPr>
          <w:p w14:paraId="0B44CC15"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34C933C4" w14:textId="77777777" w:rsidTr="009E0498">
        <w:tc>
          <w:tcPr>
            <w:tcW w:w="4815" w:type="dxa"/>
          </w:tcPr>
          <w:p w14:paraId="1F5E78DD"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Professional Clients:</w:t>
            </w:r>
          </w:p>
        </w:tc>
        <w:tc>
          <w:tcPr>
            <w:tcW w:w="4096" w:type="dxa"/>
          </w:tcPr>
          <w:p w14:paraId="064F8C62" w14:textId="77777777" w:rsidR="00712029" w:rsidRPr="00712029" w:rsidRDefault="00712029" w:rsidP="00712029">
            <w:pPr>
              <w:ind w:left="567" w:hanging="567"/>
              <w:jc w:val="both"/>
              <w:rPr>
                <w:rFonts w:ascii="Arial" w:hAnsi="Arial" w:cs="Arial"/>
                <w:sz w:val="24"/>
                <w:szCs w:val="24"/>
                <w:lang w:val="en-GB"/>
              </w:rPr>
            </w:pPr>
          </w:p>
        </w:tc>
      </w:tr>
      <w:tr w:rsidR="00712029" w:rsidRPr="00712029" w14:paraId="12DBC860" w14:textId="77777777" w:rsidTr="009E0498">
        <w:tc>
          <w:tcPr>
            <w:tcW w:w="4815" w:type="dxa"/>
          </w:tcPr>
          <w:p w14:paraId="25D3A778"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Market Counterparties:</w:t>
            </w:r>
          </w:p>
        </w:tc>
        <w:tc>
          <w:tcPr>
            <w:tcW w:w="4096" w:type="dxa"/>
          </w:tcPr>
          <w:p w14:paraId="43CC6216" w14:textId="77777777" w:rsidR="00712029" w:rsidRPr="00712029" w:rsidRDefault="00712029" w:rsidP="00712029">
            <w:pPr>
              <w:ind w:left="567" w:hanging="567"/>
              <w:jc w:val="both"/>
              <w:rPr>
                <w:rFonts w:ascii="Arial" w:hAnsi="Arial" w:cs="Arial"/>
                <w:sz w:val="24"/>
                <w:szCs w:val="24"/>
                <w:lang w:val="en-GB"/>
              </w:rPr>
            </w:pPr>
          </w:p>
        </w:tc>
      </w:tr>
      <w:tr w:rsidR="00712029" w:rsidRPr="00E133AD" w14:paraId="72E119DF" w14:textId="77777777" w:rsidTr="009E0498">
        <w:tc>
          <w:tcPr>
            <w:tcW w:w="4815" w:type="dxa"/>
          </w:tcPr>
          <w:p w14:paraId="14A2D150" w14:textId="77777777" w:rsidR="00712029" w:rsidRPr="00E133AD" w:rsidRDefault="00712029" w:rsidP="00E133AD">
            <w:pPr>
              <w:ind w:left="567" w:hanging="567"/>
              <w:jc w:val="center"/>
              <w:rPr>
                <w:rFonts w:ascii="Arial" w:hAnsi="Arial" w:cs="Arial"/>
                <w:b/>
                <w:sz w:val="24"/>
                <w:szCs w:val="24"/>
                <w:lang w:val="en-GB"/>
              </w:rPr>
            </w:pPr>
            <w:r w:rsidRPr="00E133AD">
              <w:rPr>
                <w:rFonts w:ascii="Arial" w:hAnsi="Arial" w:cs="Arial"/>
                <w:b/>
                <w:sz w:val="24"/>
                <w:szCs w:val="24"/>
                <w:lang w:val="en-GB"/>
              </w:rPr>
              <w:t>Total:</w:t>
            </w:r>
          </w:p>
        </w:tc>
        <w:tc>
          <w:tcPr>
            <w:tcW w:w="4096" w:type="dxa"/>
          </w:tcPr>
          <w:p w14:paraId="454493A6" w14:textId="77777777" w:rsidR="00712029" w:rsidRPr="00E133AD" w:rsidRDefault="00712029" w:rsidP="00E133AD">
            <w:pPr>
              <w:ind w:left="567" w:hanging="567"/>
              <w:jc w:val="center"/>
              <w:rPr>
                <w:rFonts w:ascii="Arial" w:hAnsi="Arial" w:cs="Arial"/>
                <w:b/>
                <w:sz w:val="24"/>
                <w:szCs w:val="24"/>
                <w:lang w:val="en-GB"/>
              </w:rPr>
            </w:pPr>
            <w:r w:rsidRPr="00E133AD">
              <w:rPr>
                <w:rFonts w:ascii="Arial" w:hAnsi="Arial" w:cs="Arial"/>
                <w:b/>
                <w:sz w:val="24"/>
                <w:szCs w:val="24"/>
                <w:lang w:val="en-GB"/>
              </w:rPr>
              <w:t>100</w:t>
            </w:r>
          </w:p>
        </w:tc>
      </w:tr>
    </w:tbl>
    <w:p w14:paraId="40AA86A8" w14:textId="77777777" w:rsidR="00712029" w:rsidRPr="00712029" w:rsidRDefault="00712029" w:rsidP="00712029">
      <w:pPr>
        <w:ind w:left="567" w:hanging="567"/>
        <w:jc w:val="both"/>
        <w:rPr>
          <w:rFonts w:ascii="Arial" w:eastAsiaTheme="minorHAnsi" w:hAnsi="Arial" w:cs="Arial"/>
          <w:lang w:val="en-GB" w:eastAsia="en-US"/>
        </w:rPr>
      </w:pPr>
    </w:p>
    <w:p w14:paraId="68FCC49A" w14:textId="77777777" w:rsidR="00712029" w:rsidRPr="00712029" w:rsidRDefault="00712029" w:rsidP="00712029">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t>Will your firm conduct proprietary trading?  If “Yes”, what are your risk-limits in relation to your capital?</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712029" w:rsidRPr="00712029" w14:paraId="18EB1001"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0F4586"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0CD1C68A" w14:textId="77777777" w:rsidR="00712029" w:rsidRPr="00712029" w:rsidRDefault="00712029" w:rsidP="00712029">
      <w:pPr>
        <w:ind w:left="567" w:hanging="567"/>
        <w:jc w:val="both"/>
        <w:rPr>
          <w:rFonts w:ascii="Arial" w:eastAsiaTheme="minorHAnsi" w:hAnsi="Arial" w:cs="Arial"/>
          <w:lang w:val="en-GB" w:eastAsia="en-US"/>
        </w:rPr>
      </w:pPr>
    </w:p>
    <w:p w14:paraId="66BA5D3E" w14:textId="5E43792C" w:rsidR="00712029" w:rsidRPr="00712029" w:rsidRDefault="00712029" w:rsidP="00712029">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t>Provide a flow chart for each type of sales and/or trading Transaction that your firm will undertake. These should clearly identify your role, the Client’s role, and the role of any other third parties in each Transaction. Indicate the movement of monies and assets. Each step in a Transaction should be clear, with the responsibilities and obligations of the parties involved unambiguously identified:</w:t>
      </w:r>
      <w:r w:rsidRPr="00131480">
        <w:rPr>
          <w:rFonts w:ascii="Arial" w:hAnsi="Arial" w:cs="Arial"/>
          <w:sz w:val="24"/>
          <w:szCs w:val="24"/>
          <w:vertAlign w:val="superscript"/>
        </w:rPr>
        <w:footnoteReference w:id="5"/>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712029" w:rsidRPr="00712029" w14:paraId="62568275"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980DCF" w14:textId="77777777" w:rsidR="00712029" w:rsidRPr="00712029" w:rsidRDefault="00712029" w:rsidP="0071202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2BD7AE8D" w14:textId="60AC5D00" w:rsidR="00712029" w:rsidRDefault="00712029" w:rsidP="00712029">
      <w:pPr>
        <w:rPr>
          <w:rFonts w:ascii="Calibri" w:hAnsi="Calibri"/>
          <w:sz w:val="22"/>
          <w:szCs w:val="22"/>
        </w:rPr>
      </w:pPr>
    </w:p>
    <w:p w14:paraId="4F78B20D" w14:textId="77777777" w:rsidR="00712029" w:rsidRDefault="00712029">
      <w:pPr>
        <w:rPr>
          <w:rFonts w:ascii="Calibri" w:hAnsi="Calibri"/>
          <w:sz w:val="22"/>
          <w:szCs w:val="22"/>
        </w:rPr>
      </w:pPr>
      <w:r>
        <w:rPr>
          <w:rFonts w:ascii="Calibri" w:hAnsi="Calibri"/>
          <w:sz w:val="22"/>
          <w:szCs w:val="22"/>
        </w:rPr>
        <w:br w:type="page"/>
      </w:r>
    </w:p>
    <w:p w14:paraId="43098E7E" w14:textId="77777777" w:rsidR="00712029" w:rsidRPr="000D24B4" w:rsidRDefault="00712029" w:rsidP="00712029">
      <w:pPr>
        <w:rPr>
          <w:rFonts w:ascii="Calibri" w:hAnsi="Calibr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AC74EA" w:rsidRPr="00AC74EA" w14:paraId="0B851BFF" w14:textId="77777777" w:rsidTr="009E0498">
        <w:trPr>
          <w:trHeight w:val="570"/>
        </w:trPr>
        <w:tc>
          <w:tcPr>
            <w:tcW w:w="9686" w:type="dxa"/>
            <w:shd w:val="clear" w:color="auto" w:fill="244061" w:themeFill="accent1" w:themeFillShade="80"/>
          </w:tcPr>
          <w:p w14:paraId="0DA845A9" w14:textId="01A06C77" w:rsidR="00AC74EA" w:rsidRPr="00AC74EA" w:rsidRDefault="006156D5" w:rsidP="00AC74EA">
            <w:pPr>
              <w:pStyle w:val="ListParagraph"/>
              <w:numPr>
                <w:ilvl w:val="0"/>
                <w:numId w:val="8"/>
              </w:numPr>
              <w:spacing w:before="120" w:after="12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Financial and operational risk management</w:t>
            </w:r>
          </w:p>
        </w:tc>
      </w:tr>
    </w:tbl>
    <w:p w14:paraId="5953FA14" w14:textId="2A56CD50" w:rsidR="00057771" w:rsidRPr="00ED5FCB" w:rsidRDefault="00057771" w:rsidP="00ED5FCB">
      <w:pPr>
        <w:ind w:left="567" w:hanging="567"/>
        <w:jc w:val="both"/>
        <w:rPr>
          <w:rFonts w:ascii="Arial" w:hAnsi="Arial" w:cs="Arial"/>
        </w:rPr>
      </w:pPr>
    </w:p>
    <w:p w14:paraId="6C49F516" w14:textId="2C2EA8AF"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Describe how trading limits are set and monitored:</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458810EE"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4C488C"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0FFE4DDC" w14:textId="77777777" w:rsidR="00F144EA" w:rsidRPr="00ED5FCB" w:rsidRDefault="00F144EA" w:rsidP="00ED5FCB">
      <w:pPr>
        <w:pStyle w:val="ListParagraph"/>
        <w:ind w:left="567" w:hanging="567"/>
        <w:jc w:val="both"/>
        <w:rPr>
          <w:rFonts w:ascii="Arial" w:hAnsi="Arial" w:cs="Arial"/>
          <w:sz w:val="24"/>
          <w:szCs w:val="24"/>
        </w:rPr>
      </w:pPr>
    </w:p>
    <w:p w14:paraId="29FDAAC5" w14:textId="77777777"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How will your firm ensure that your remuneration policies for front office staff do not encourage a culture of excessive risk taking?</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53D517AA"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8D03BD"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30F9C2D4" w14:textId="77777777" w:rsidR="00F144EA" w:rsidRPr="00ED5FCB" w:rsidRDefault="00F144EA" w:rsidP="00ED5FCB">
      <w:pPr>
        <w:ind w:left="567" w:hanging="567"/>
        <w:jc w:val="both"/>
        <w:rPr>
          <w:rFonts w:ascii="Arial" w:eastAsiaTheme="minorHAnsi" w:hAnsi="Arial" w:cs="Arial"/>
          <w:lang w:val="en-GB" w:eastAsia="en-US"/>
        </w:rPr>
      </w:pPr>
    </w:p>
    <w:p w14:paraId="78B41255" w14:textId="5D8C7E0D"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Describe the nature and frequency of the trading book valuation. What risk mitigating tools will be used to manage risk in this area?</w:t>
      </w:r>
      <w:r w:rsidRPr="00ED5FCB">
        <w:rPr>
          <w:rFonts w:ascii="Arial" w:hAnsi="Arial" w:cs="Arial"/>
          <w:sz w:val="24"/>
          <w:szCs w:val="24"/>
          <w:vertAlign w:val="superscript"/>
        </w:rPr>
        <w:footnoteReference w:id="6"/>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6A0CC368"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30467C"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06B16E1C" w14:textId="77777777" w:rsidR="00F144EA" w:rsidRPr="00ED5FCB" w:rsidRDefault="00F144EA" w:rsidP="00ED5FCB">
      <w:pPr>
        <w:ind w:left="567" w:hanging="567"/>
        <w:jc w:val="both"/>
        <w:rPr>
          <w:rFonts w:ascii="Arial" w:eastAsiaTheme="minorHAnsi" w:hAnsi="Arial" w:cs="Arial"/>
          <w:lang w:val="en-GB" w:eastAsia="en-US"/>
        </w:rPr>
      </w:pPr>
    </w:p>
    <w:p w14:paraId="5FD9EF47" w14:textId="71CC963B"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Describe your clearing and settlement arrangements. How will you ensure appropriate clearing and settlement of Transactions?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69F5EF90"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BD5F18"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1AF44AF8" w14:textId="77777777" w:rsidR="00F144EA" w:rsidRPr="00ED5FCB" w:rsidRDefault="00F144EA" w:rsidP="00ED5FCB">
      <w:pPr>
        <w:ind w:left="567" w:hanging="567"/>
        <w:jc w:val="both"/>
        <w:rPr>
          <w:rFonts w:ascii="Arial" w:eastAsiaTheme="minorHAnsi" w:hAnsi="Arial" w:cs="Arial"/>
          <w:lang w:val="en-GB" w:eastAsia="en-US"/>
        </w:rPr>
      </w:pPr>
    </w:p>
    <w:p w14:paraId="28ECD5E6" w14:textId="77777777"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Describe how you manage your credit risks for Client trading.  How will you mitigate the risks of payment or delivery failure in relation to executed trades?  How will you deal with error trades?</w:t>
      </w:r>
      <w:r w:rsidRPr="00ED5FCB">
        <w:rPr>
          <w:rFonts w:ascii="Arial" w:hAnsi="Arial" w:cs="Arial"/>
          <w:sz w:val="24"/>
          <w:szCs w:val="24"/>
          <w:vertAlign w:val="superscript"/>
        </w:rPr>
        <w:footnoteReference w:id="7"/>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670B03EC"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D6AF2D"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2CA265E1" w14:textId="77777777" w:rsidR="00F144EA" w:rsidRPr="00ED5FCB" w:rsidRDefault="00F144EA" w:rsidP="00ED5FCB">
      <w:pPr>
        <w:ind w:left="567" w:hanging="567"/>
        <w:jc w:val="both"/>
        <w:rPr>
          <w:rFonts w:ascii="Arial" w:eastAsiaTheme="minorHAnsi" w:hAnsi="Arial" w:cs="Arial"/>
          <w:lang w:val="en-GB" w:eastAsia="en-US"/>
        </w:rPr>
      </w:pPr>
    </w:p>
    <w:p w14:paraId="6D2B26DA" w14:textId="77777777"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Provide details of any underwriting activities you will carry on:</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2B9A0B88"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7E694A"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4FB93D77" w14:textId="77777777" w:rsidR="00F144EA" w:rsidRPr="00ED5FCB" w:rsidRDefault="00F144EA" w:rsidP="00ED5FCB">
      <w:pPr>
        <w:ind w:left="567" w:hanging="567"/>
        <w:jc w:val="both"/>
        <w:rPr>
          <w:rFonts w:ascii="Arial" w:eastAsiaTheme="minorHAnsi" w:hAnsi="Arial" w:cs="Arial"/>
          <w:lang w:val="en-GB" w:eastAsia="en-US"/>
        </w:rPr>
      </w:pPr>
    </w:p>
    <w:p w14:paraId="1077EF00" w14:textId="77777777"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Will your firm offer margin accounts?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1E0B0F8D"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1894A3"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29606200" w14:textId="77777777" w:rsidR="00F144EA" w:rsidRPr="00ED5FCB" w:rsidRDefault="00F144EA" w:rsidP="00ED5FCB">
      <w:pPr>
        <w:pStyle w:val="ListParagraph"/>
        <w:ind w:left="567" w:hanging="567"/>
        <w:jc w:val="both"/>
        <w:rPr>
          <w:rFonts w:ascii="Arial" w:hAnsi="Arial" w:cs="Arial"/>
          <w:sz w:val="24"/>
          <w:szCs w:val="24"/>
        </w:rPr>
      </w:pPr>
    </w:p>
    <w:p w14:paraId="719C624E" w14:textId="50AC49A6" w:rsidR="00F144EA" w:rsidRPr="00ED5FCB" w:rsidRDefault="00F144EA" w:rsidP="00ED5FCB">
      <w:pPr>
        <w:pStyle w:val="ListParagraph"/>
        <w:numPr>
          <w:ilvl w:val="1"/>
          <w:numId w:val="8"/>
        </w:numPr>
        <w:ind w:left="567" w:hanging="567"/>
        <w:jc w:val="both"/>
        <w:rPr>
          <w:rFonts w:ascii="Arial" w:hAnsi="Arial" w:cs="Arial"/>
          <w:sz w:val="24"/>
          <w:szCs w:val="24"/>
        </w:rPr>
      </w:pPr>
      <w:r w:rsidRPr="00ED5FCB">
        <w:rPr>
          <w:rFonts w:ascii="Arial" w:hAnsi="Arial" w:cs="Arial"/>
          <w:sz w:val="24"/>
          <w:szCs w:val="24"/>
        </w:rPr>
        <w:t>If you answered “Yes” to the questions above provide a description of your margin financing policy.  This should include a full account of the: 1) concentration policy; 2) type of collateral accepted; 3) criteria for granting margin finance and the interest rate charged; 4) procedures and personnel responsible for computing margin shortfalls, making margin calls, and making good shortfalls; and 5) how often the margin finance policy is reviewed:</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144EA" w:rsidRPr="00ED5FCB" w14:paraId="5F3D7144"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742F0B" w14:textId="77777777" w:rsidR="00F144EA" w:rsidRPr="00ED5FCB" w:rsidRDefault="00F144EA" w:rsidP="00ED5FCB">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532F275A" w14:textId="77777777" w:rsidR="00F144EA" w:rsidRPr="00ED5FCB" w:rsidRDefault="00F144EA" w:rsidP="00ED5FCB">
      <w:pPr>
        <w:ind w:left="567" w:hanging="567"/>
        <w:jc w:val="both"/>
        <w:rPr>
          <w:rFonts w:ascii="Arial" w:eastAsiaTheme="minorHAnsi" w:hAnsi="Arial" w:cs="Arial"/>
          <w:lang w:val="en-GB" w:eastAsia="en-US"/>
        </w:rPr>
      </w:pPr>
    </w:p>
    <w:p w14:paraId="5F0F323A" w14:textId="499CF42A" w:rsidR="00486CF7" w:rsidRDefault="00486CF7">
      <w:pPr>
        <w:rPr>
          <w:rFonts w:ascii="Arial" w:eastAsiaTheme="minorHAnsi" w:hAnsi="Arial" w:cs="Arial"/>
          <w:lang w:val="en-GB" w:eastAsia="en-US"/>
        </w:rPr>
      </w:pPr>
      <w:r>
        <w:rPr>
          <w:rFonts w:ascii="Arial" w:eastAsiaTheme="minorHAnsi" w:hAnsi="Arial" w:cs="Arial"/>
          <w:lang w:val="en-GB" w:eastAsia="en-U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486CF7" w:rsidRPr="00486CF7" w14:paraId="6093FF85" w14:textId="77777777" w:rsidTr="009E0498">
        <w:trPr>
          <w:trHeight w:val="570"/>
        </w:trPr>
        <w:tc>
          <w:tcPr>
            <w:tcW w:w="9686" w:type="dxa"/>
            <w:shd w:val="clear" w:color="auto" w:fill="244061" w:themeFill="accent1" w:themeFillShade="80"/>
          </w:tcPr>
          <w:p w14:paraId="2B43BC1A" w14:textId="19FB512F" w:rsidR="00486CF7" w:rsidRPr="00486CF7" w:rsidRDefault="00486CF7" w:rsidP="00486CF7">
            <w:pPr>
              <w:pStyle w:val="ListParagraph"/>
              <w:numPr>
                <w:ilvl w:val="0"/>
                <w:numId w:val="8"/>
              </w:numPr>
              <w:spacing w:before="120" w:after="120" w:line="276" w:lineRule="auto"/>
              <w:jc w:val="center"/>
              <w:rPr>
                <w:rFonts w:ascii="Arial" w:hAnsi="Arial" w:cs="Arial"/>
                <w:b/>
                <w:color w:val="FFFFFF" w:themeColor="background1"/>
                <w:sz w:val="24"/>
                <w:szCs w:val="24"/>
              </w:rPr>
            </w:pPr>
            <w:r w:rsidRPr="00486CF7">
              <w:rPr>
                <w:rFonts w:ascii="Arial" w:hAnsi="Arial" w:cs="Arial"/>
                <w:b/>
                <w:color w:val="FFFFFF" w:themeColor="background1"/>
                <w:sz w:val="24"/>
                <w:szCs w:val="24"/>
              </w:rPr>
              <w:lastRenderedPageBreak/>
              <w:t>Conduct of business</w:t>
            </w:r>
          </w:p>
        </w:tc>
      </w:tr>
    </w:tbl>
    <w:p w14:paraId="13C6C153" w14:textId="77777777" w:rsidR="00087F20" w:rsidRDefault="00087F20" w:rsidP="00087F20">
      <w:pPr>
        <w:rPr>
          <w:rFonts w:asciiTheme="majorHAnsi" w:hAnsiTheme="majorHAnsi"/>
          <w:sz w:val="22"/>
          <w:szCs w:val="22"/>
        </w:rPr>
      </w:pPr>
    </w:p>
    <w:p w14:paraId="4AF33E9B" w14:textId="224B2B81"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Will you hold Client Money?</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013AFD3E"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B595A6"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4F11D16B" w14:textId="77777777" w:rsidR="00087F20" w:rsidRPr="00087F20" w:rsidRDefault="00087F20" w:rsidP="00087F20">
      <w:pPr>
        <w:ind w:left="567" w:hanging="567"/>
        <w:jc w:val="both"/>
        <w:rPr>
          <w:rFonts w:ascii="Arial" w:hAnsi="Arial" w:cs="Arial"/>
        </w:rPr>
      </w:pPr>
    </w:p>
    <w:p w14:paraId="799BE1EA" w14:textId="77777777"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For customer trading, describe what arrangements you will have in place to ensure the safeguarding of Client Assets, including custody and Client Money arrangements:</w:t>
      </w:r>
      <w:r w:rsidRPr="00087F20">
        <w:rPr>
          <w:rStyle w:val="FootnoteReference"/>
          <w:rFonts w:ascii="Arial" w:hAnsi="Arial" w:cs="Arial"/>
          <w:sz w:val="24"/>
          <w:szCs w:val="24"/>
        </w:rPr>
        <w:footnoteReference w:id="8"/>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0EDC5092"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36D6D3"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350BA484" w14:textId="77777777" w:rsidR="00087F20" w:rsidRPr="00087F20" w:rsidRDefault="00087F20" w:rsidP="00087F20">
      <w:pPr>
        <w:ind w:left="567" w:hanging="567"/>
        <w:jc w:val="both"/>
        <w:rPr>
          <w:rFonts w:ascii="Arial" w:hAnsi="Arial" w:cs="Arial"/>
        </w:rPr>
      </w:pPr>
    </w:p>
    <w:p w14:paraId="1AB32DA1" w14:textId="77777777"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How often will reconciliations of Client holdings be carried out and who will be responsible for the reconciliation?  How will you reconcile your records of Client Assets, including Client Money, with the records of other parties (such as third party custodians or dealers) so as to ensure any differences identified are rectified promptly?</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40BA922E"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EA2C83"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5086BA76" w14:textId="77777777" w:rsidR="00087F20" w:rsidRPr="00087F20" w:rsidRDefault="00087F20" w:rsidP="00087F20">
      <w:pPr>
        <w:ind w:left="567" w:hanging="567"/>
        <w:jc w:val="both"/>
        <w:rPr>
          <w:rFonts w:ascii="Arial" w:eastAsia="Calibri" w:hAnsi="Arial" w:cs="Arial"/>
          <w:lang w:val="en-GB"/>
        </w:rPr>
      </w:pPr>
    </w:p>
    <w:p w14:paraId="57280921" w14:textId="77777777"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How does the Board and Senior Management monitor the firm’s trading activities for any market abuse / misconduct?  Describe the surveillance of trading activities: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48DF266E"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F310FA"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33D21B1C" w14:textId="77777777" w:rsidR="00087F20" w:rsidRPr="00087F20" w:rsidRDefault="00087F20" w:rsidP="00087F20">
      <w:pPr>
        <w:ind w:left="567" w:hanging="567"/>
        <w:jc w:val="both"/>
        <w:rPr>
          <w:rFonts w:ascii="Arial" w:hAnsi="Arial" w:cs="Arial"/>
        </w:rPr>
      </w:pPr>
    </w:p>
    <w:p w14:paraId="1E66D026" w14:textId="16C1567C"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How does the Board and Senior Management ensure compliance with record keeping requirements?</w:t>
      </w:r>
      <w:r w:rsidRPr="00087F20">
        <w:rPr>
          <w:rStyle w:val="FootnoteReference"/>
          <w:rFonts w:ascii="Arial" w:hAnsi="Arial" w:cs="Arial"/>
          <w:sz w:val="24"/>
          <w:szCs w:val="24"/>
        </w:rPr>
        <w:footnoteReference w:id="9"/>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24A2BF16"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94C0683"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12896D43" w14:textId="77777777" w:rsidR="00087F20" w:rsidRPr="00087F20" w:rsidRDefault="00087F20" w:rsidP="00087F20">
      <w:pPr>
        <w:ind w:left="567" w:hanging="567"/>
        <w:jc w:val="both"/>
        <w:rPr>
          <w:rFonts w:ascii="Arial" w:eastAsia="Calibri" w:hAnsi="Arial" w:cs="Arial"/>
          <w:lang w:val="en-GB"/>
        </w:rPr>
      </w:pPr>
    </w:p>
    <w:p w14:paraId="3D3154A5" w14:textId="7C9234A6" w:rsidR="00087F20" w:rsidRPr="00087F20" w:rsidRDefault="00087F20" w:rsidP="00383C9E">
      <w:pPr>
        <w:jc w:val="both"/>
        <w:rPr>
          <w:rFonts w:ascii="Arial" w:hAnsi="Arial" w:cs="Arial"/>
        </w:rPr>
      </w:pPr>
      <w:r w:rsidRPr="00087F20">
        <w:rPr>
          <w:rFonts w:ascii="Arial" w:hAnsi="Arial" w:cs="Arial"/>
        </w:rPr>
        <w:t xml:space="preserve">The following six questions pertain to </w:t>
      </w:r>
      <w:r w:rsidR="008A074A">
        <w:rPr>
          <w:rFonts w:ascii="Arial" w:hAnsi="Arial" w:cs="Arial"/>
        </w:rPr>
        <w:t>a</w:t>
      </w:r>
      <w:r w:rsidRPr="00087F20">
        <w:rPr>
          <w:rFonts w:ascii="Arial" w:hAnsi="Arial" w:cs="Arial"/>
        </w:rPr>
        <w:t>pplicants dealing for Retail Clients.  If you will not be dealing for Retail Clients, insert “N/A” in the cells.</w:t>
      </w:r>
    </w:p>
    <w:p w14:paraId="2889055A" w14:textId="77777777" w:rsidR="00087F20" w:rsidRPr="00087F20" w:rsidRDefault="00087F20" w:rsidP="00087F20">
      <w:pPr>
        <w:ind w:left="567" w:hanging="567"/>
        <w:jc w:val="both"/>
        <w:rPr>
          <w:rFonts w:ascii="Arial" w:hAnsi="Arial" w:cs="Arial"/>
        </w:rPr>
      </w:pPr>
    </w:p>
    <w:p w14:paraId="04955CDC" w14:textId="05A5BC7E" w:rsidR="00871C14" w:rsidRDefault="00871C14" w:rsidP="00871C14">
      <w:pPr>
        <w:pStyle w:val="ListParagraph"/>
        <w:numPr>
          <w:ilvl w:val="1"/>
          <w:numId w:val="8"/>
        </w:numPr>
        <w:ind w:left="630" w:hanging="630"/>
        <w:jc w:val="both"/>
        <w:rPr>
          <w:rFonts w:ascii="Arial" w:hAnsi="Arial" w:cs="Arial"/>
          <w:sz w:val="24"/>
          <w:szCs w:val="24"/>
        </w:rPr>
      </w:pPr>
      <w:r w:rsidRPr="00871C14">
        <w:rPr>
          <w:rFonts w:ascii="Arial" w:hAnsi="Arial" w:cs="Arial"/>
          <w:sz w:val="24"/>
          <w:szCs w:val="24"/>
        </w:rPr>
        <w:t>Describe how the Board and Senior Management will ensure that employees in Client-facing roles</w:t>
      </w:r>
      <w:r w:rsidR="00674FFD">
        <w:rPr>
          <w:rFonts w:ascii="Arial" w:hAnsi="Arial" w:cs="Arial"/>
          <w:sz w:val="24"/>
          <w:szCs w:val="24"/>
        </w:rPr>
        <w:t xml:space="preserve"> </w:t>
      </w:r>
      <w:r w:rsidRPr="00871C14">
        <w:rPr>
          <w:rFonts w:ascii="Arial" w:hAnsi="Arial" w:cs="Arial"/>
          <w:sz w:val="24"/>
          <w:szCs w:val="24"/>
        </w:rPr>
        <w:t>are competent and continue to maintain their knowledge and skills</w:t>
      </w:r>
      <w:r w:rsidR="00674FFD">
        <w:rPr>
          <w:rFonts w:ascii="Arial" w:hAnsi="Arial" w:cs="Arial"/>
          <w:sz w:val="24"/>
          <w:szCs w:val="24"/>
        </w:rPr>
        <w:t>:</w:t>
      </w:r>
      <w:r w:rsidR="00674FFD">
        <w:rPr>
          <w:rStyle w:val="FootnoteReference"/>
          <w:rFonts w:ascii="Arial" w:hAnsi="Arial" w:cs="Arial"/>
          <w:sz w:val="24"/>
          <w:szCs w:val="24"/>
        </w:rPr>
        <w:footnoteReference w:id="10"/>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674FFD" w:rsidRPr="00087F20" w14:paraId="0F5E79C2" w14:textId="77777777" w:rsidTr="00245FBB">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74DD67" w14:textId="77777777" w:rsidR="00674FFD" w:rsidRPr="00087F20" w:rsidRDefault="00674FFD" w:rsidP="00245FBB">
            <w:pPr>
              <w:ind w:left="567" w:hanging="567"/>
              <w:jc w:val="both"/>
              <w:rPr>
                <w:rFonts w:ascii="Arial" w:hAnsi="Arial" w:cs="Arial"/>
                <w:sz w:val="24"/>
                <w:szCs w:val="24"/>
              </w:rPr>
            </w:pPr>
            <w:r w:rsidRPr="00087F20">
              <w:rPr>
                <w:rFonts w:ascii="Arial" w:hAnsi="Arial" w:cs="Arial"/>
                <w:sz w:val="24"/>
                <w:szCs w:val="24"/>
              </w:rPr>
              <w:t>[Insert text here]</w:t>
            </w:r>
          </w:p>
        </w:tc>
      </w:tr>
    </w:tbl>
    <w:p w14:paraId="447B8518" w14:textId="77777777" w:rsidR="00674FFD" w:rsidRPr="00871C14" w:rsidRDefault="00674FFD" w:rsidP="00423319">
      <w:pPr>
        <w:pStyle w:val="ListParagraph"/>
        <w:ind w:left="630"/>
        <w:jc w:val="both"/>
        <w:rPr>
          <w:rFonts w:ascii="Arial" w:hAnsi="Arial" w:cs="Arial"/>
          <w:sz w:val="24"/>
          <w:szCs w:val="24"/>
        </w:rPr>
      </w:pPr>
    </w:p>
    <w:p w14:paraId="71698E2C" w14:textId="53ABE5A2"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Describe your Complaint handling process:</w:t>
      </w:r>
      <w:r w:rsidRPr="00087F20">
        <w:rPr>
          <w:rStyle w:val="FootnoteReference"/>
          <w:rFonts w:ascii="Arial" w:hAnsi="Arial" w:cs="Arial"/>
          <w:sz w:val="24"/>
          <w:szCs w:val="24"/>
        </w:rPr>
        <w:footnoteReference w:id="11"/>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4675ADCE"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8034C7" w14:textId="77777777" w:rsidR="00087F20" w:rsidRPr="00087F20" w:rsidRDefault="00087F20" w:rsidP="00087F20">
            <w:pPr>
              <w:ind w:left="567" w:hanging="567"/>
              <w:jc w:val="both"/>
              <w:rPr>
                <w:rFonts w:ascii="Arial" w:hAnsi="Arial" w:cs="Arial"/>
                <w:sz w:val="24"/>
                <w:szCs w:val="24"/>
              </w:rPr>
            </w:pPr>
            <w:bookmarkStart w:id="5" w:name="_Hlk3821976"/>
            <w:r w:rsidRPr="00087F20">
              <w:rPr>
                <w:rFonts w:ascii="Arial" w:hAnsi="Arial" w:cs="Arial"/>
                <w:sz w:val="24"/>
                <w:szCs w:val="24"/>
              </w:rPr>
              <w:t>[Insert text here]</w:t>
            </w:r>
          </w:p>
        </w:tc>
      </w:tr>
      <w:bookmarkEnd w:id="5"/>
    </w:tbl>
    <w:p w14:paraId="2B9986E3" w14:textId="77777777" w:rsidR="00087F20" w:rsidRPr="00087F20" w:rsidRDefault="00087F20" w:rsidP="00087F20">
      <w:pPr>
        <w:ind w:left="567" w:hanging="567"/>
        <w:jc w:val="both"/>
        <w:rPr>
          <w:rFonts w:ascii="Arial" w:hAnsi="Arial" w:cs="Arial"/>
        </w:rPr>
      </w:pPr>
    </w:p>
    <w:p w14:paraId="3BD87E25" w14:textId="77777777"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How will you ensure that the Client achieves the best execution for the Transaction?</w:t>
      </w:r>
      <w:r w:rsidRPr="00087F20">
        <w:rPr>
          <w:rStyle w:val="FootnoteReference"/>
          <w:rFonts w:ascii="Arial" w:hAnsi="Arial" w:cs="Arial"/>
          <w:sz w:val="24"/>
          <w:szCs w:val="24"/>
        </w:rPr>
        <w:footnoteReference w:id="12"/>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7CA61EC7"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6C1672"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0BF7B2CE" w14:textId="77777777" w:rsidR="00087F20" w:rsidRPr="00087F20" w:rsidRDefault="00087F20" w:rsidP="00087F20">
      <w:pPr>
        <w:ind w:left="567" w:hanging="567"/>
        <w:jc w:val="both"/>
        <w:rPr>
          <w:rFonts w:ascii="Arial" w:hAnsi="Arial" w:cs="Arial"/>
        </w:rPr>
      </w:pPr>
    </w:p>
    <w:p w14:paraId="38933BB7" w14:textId="77777777"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lastRenderedPageBreak/>
        <w:t>What is your policy to ensure and evidence that customer assessments and considerations of suitability are carried out:</w:t>
      </w:r>
      <w:r w:rsidRPr="00087F20">
        <w:rPr>
          <w:rStyle w:val="FootnoteReference"/>
          <w:rFonts w:ascii="Arial" w:hAnsi="Arial" w:cs="Arial"/>
          <w:sz w:val="24"/>
          <w:szCs w:val="24"/>
        </w:rPr>
        <w:footnoteReference w:id="13"/>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1272A890"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669BC6"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53B9678A" w14:textId="77777777" w:rsidR="00087F20" w:rsidRPr="00087F20" w:rsidRDefault="00087F20" w:rsidP="00087F20">
      <w:pPr>
        <w:ind w:left="567" w:hanging="567"/>
        <w:jc w:val="both"/>
        <w:rPr>
          <w:rFonts w:ascii="Arial" w:hAnsi="Arial" w:cs="Arial"/>
        </w:rPr>
      </w:pPr>
    </w:p>
    <w:p w14:paraId="0AC60110" w14:textId="47B5581E"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 xml:space="preserve">Provide </w:t>
      </w:r>
      <w:r w:rsidR="0003287A">
        <w:rPr>
          <w:rFonts w:ascii="Arial" w:hAnsi="Arial" w:cs="Arial"/>
          <w:sz w:val="24"/>
          <w:szCs w:val="24"/>
        </w:rPr>
        <w:t>a copy of your standard Client a</w:t>
      </w:r>
      <w:r w:rsidRPr="00087F20">
        <w:rPr>
          <w:rFonts w:ascii="Arial" w:hAnsi="Arial" w:cs="Arial"/>
          <w:sz w:val="24"/>
          <w:szCs w:val="24"/>
        </w:rPr>
        <w:t>greement:</w:t>
      </w:r>
      <w:r w:rsidRPr="00087F20">
        <w:rPr>
          <w:rStyle w:val="FootnoteReference"/>
          <w:rFonts w:ascii="Arial" w:hAnsi="Arial" w:cs="Arial"/>
          <w:sz w:val="24"/>
          <w:szCs w:val="24"/>
        </w:rPr>
        <w:footnoteReference w:id="14"/>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101EEAD3"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92373D0"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0D236896" w14:textId="77777777" w:rsidR="00087F20" w:rsidRPr="00087F20" w:rsidRDefault="00087F20" w:rsidP="00087F20">
      <w:pPr>
        <w:ind w:left="567" w:hanging="567"/>
        <w:jc w:val="both"/>
        <w:rPr>
          <w:rFonts w:ascii="Arial" w:hAnsi="Arial" w:cs="Arial"/>
        </w:rPr>
      </w:pPr>
    </w:p>
    <w:p w14:paraId="2270045B" w14:textId="0A21E073" w:rsidR="00087F20" w:rsidRPr="00087F20" w:rsidRDefault="00087F20" w:rsidP="00087F20">
      <w:pPr>
        <w:pStyle w:val="ListParagraph"/>
        <w:numPr>
          <w:ilvl w:val="1"/>
          <w:numId w:val="8"/>
        </w:numPr>
        <w:ind w:left="567" w:hanging="567"/>
        <w:jc w:val="both"/>
        <w:rPr>
          <w:rFonts w:ascii="Arial" w:hAnsi="Arial" w:cs="Arial"/>
          <w:sz w:val="24"/>
          <w:szCs w:val="24"/>
        </w:rPr>
      </w:pPr>
      <w:r w:rsidRPr="00087F20">
        <w:rPr>
          <w:rFonts w:ascii="Arial" w:hAnsi="Arial" w:cs="Arial"/>
          <w:sz w:val="24"/>
          <w:szCs w:val="24"/>
        </w:rPr>
        <w:t xml:space="preserve">What is your policy to ensure that the appropriate disclosures are made to Retail Clients?  </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087F20" w:rsidRPr="00087F20" w14:paraId="192C2F9A" w14:textId="77777777" w:rsidTr="009E0498">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63E3EF" w14:textId="77777777" w:rsidR="00087F20" w:rsidRPr="00087F20" w:rsidRDefault="00087F20" w:rsidP="00087F20">
            <w:pPr>
              <w:ind w:left="567" w:hanging="567"/>
              <w:jc w:val="both"/>
              <w:rPr>
                <w:rFonts w:ascii="Arial" w:hAnsi="Arial" w:cs="Arial"/>
                <w:sz w:val="24"/>
                <w:szCs w:val="24"/>
              </w:rPr>
            </w:pPr>
            <w:r w:rsidRPr="00087F20">
              <w:rPr>
                <w:rFonts w:ascii="Arial" w:hAnsi="Arial" w:cs="Arial"/>
                <w:sz w:val="24"/>
                <w:szCs w:val="24"/>
              </w:rPr>
              <w:t>[Insert text here]</w:t>
            </w:r>
          </w:p>
        </w:tc>
      </w:tr>
    </w:tbl>
    <w:p w14:paraId="1C9505C3" w14:textId="77777777" w:rsidR="00087F20" w:rsidRPr="00486CF7" w:rsidRDefault="00087F20" w:rsidP="00F144EA">
      <w:pPr>
        <w:jc w:val="both"/>
        <w:rPr>
          <w:rFonts w:ascii="Arial" w:eastAsiaTheme="minorHAnsi" w:hAnsi="Arial" w:cs="Arial"/>
          <w:lang w:eastAsia="en-US"/>
        </w:rPr>
      </w:pPr>
    </w:p>
    <w:sectPr w:rsidR="00087F20" w:rsidRPr="00486CF7" w:rsidSect="00EA184E">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4AFE" w14:textId="77777777" w:rsidR="00E04D2E" w:rsidRDefault="00E04D2E" w:rsidP="00B515B7">
      <w:r>
        <w:separator/>
      </w:r>
    </w:p>
  </w:endnote>
  <w:endnote w:type="continuationSeparator" w:id="0">
    <w:p w14:paraId="65916C99" w14:textId="77777777" w:rsidR="00E04D2E" w:rsidRDefault="00E04D2E" w:rsidP="00B515B7">
      <w:r>
        <w:continuationSeparator/>
      </w:r>
    </w:p>
  </w:endnote>
  <w:endnote w:type="continuationNotice" w:id="1">
    <w:p w14:paraId="7AB1E850" w14:textId="77777777" w:rsidR="00E04D2E" w:rsidRDefault="00E04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7AD7" w14:textId="61BC8105" w:rsidR="00291299" w:rsidRDefault="004A7DA1">
    <w:pPr>
      <w:pStyle w:val="Footer"/>
    </w:pPr>
    <w:r>
      <w:rPr>
        <w:noProof/>
      </w:rPr>
      <mc:AlternateContent>
        <mc:Choice Requires="wps">
          <w:drawing>
            <wp:anchor distT="0" distB="0" distL="0" distR="0" simplePos="0" relativeHeight="251662336" behindDoc="0" locked="0" layoutInCell="1" allowOverlap="1" wp14:anchorId="17AE845F" wp14:editId="1D18E50A">
              <wp:simplePos x="635" y="635"/>
              <wp:positionH relativeFrom="page">
                <wp:align>center</wp:align>
              </wp:positionH>
              <wp:positionV relativeFrom="page">
                <wp:align>bottom</wp:align>
              </wp:positionV>
              <wp:extent cx="443865" cy="443865"/>
              <wp:effectExtent l="0" t="0" r="0" b="0"/>
              <wp:wrapNone/>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E21FD" w14:textId="4D7ABA61"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E845F" id="_x0000_t202" coordsize="21600,21600" o:spt="202" path="m,l,21600r21600,l21600,xe">
              <v:stroke joinstyle="miter"/>
              <v:path gradientshapeok="t" o:connecttype="rect"/>
            </v:shapetype>
            <v:shape id="Надпись 6"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4E21FD" w14:textId="4D7ABA61"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D439" w14:textId="3D627AEB" w:rsidR="00B515B7" w:rsidRPr="007079BF" w:rsidRDefault="004A7DA1" w:rsidP="00B515B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06125E1E" wp14:editId="09B16916">
              <wp:simplePos x="635" y="635"/>
              <wp:positionH relativeFrom="page">
                <wp:align>center</wp:align>
              </wp:positionH>
              <wp:positionV relativeFrom="page">
                <wp:align>bottom</wp:align>
              </wp:positionV>
              <wp:extent cx="443865" cy="443865"/>
              <wp:effectExtent l="0" t="0" r="0" b="0"/>
              <wp:wrapNone/>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80DDE" w14:textId="4A48D2B1"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25E1E" id="_x0000_t202" coordsize="21600,21600" o:spt="202" path="m,l,21600r21600,l21600,xe">
              <v:stroke joinstyle="miter"/>
              <v:path gradientshapeok="t" o:connecttype="rect"/>
            </v:shapetype>
            <v:shape id="Надпись 7" o:spid="_x0000_s1029" type="#_x0000_t202" alt="Classification: 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480DDE" w14:textId="4A48D2B1"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v:textbox>
              <w10:wrap anchorx="page" anchory="page"/>
            </v:shape>
          </w:pict>
        </mc:Fallback>
      </mc:AlternateContent>
    </w:r>
    <w:r w:rsidR="00B515B7" w:rsidRPr="007079BF">
      <w:rPr>
        <w:rFonts w:ascii="Arial" w:hAnsi="Arial" w:cs="Arial"/>
        <w:color w:val="244061" w:themeColor="accent1" w:themeShade="80"/>
        <w:sz w:val="20"/>
        <w:szCs w:val="20"/>
      </w:rPr>
      <w:t xml:space="preserve">Page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PAGE  \* Arabic  \* MERGEFORMAT </w:instrText>
    </w:r>
    <w:r w:rsidR="00B515B7" w:rsidRPr="007079BF">
      <w:rPr>
        <w:rFonts w:ascii="Arial" w:hAnsi="Arial" w:cs="Arial"/>
        <w:color w:val="244061" w:themeColor="accent1" w:themeShade="80"/>
        <w:sz w:val="20"/>
        <w:szCs w:val="20"/>
      </w:rPr>
      <w:fldChar w:fldCharType="separate"/>
    </w:r>
    <w:r w:rsidR="003233E3">
      <w:rPr>
        <w:rFonts w:ascii="Arial" w:hAnsi="Arial" w:cs="Arial"/>
        <w:noProof/>
        <w:color w:val="244061" w:themeColor="accent1" w:themeShade="80"/>
        <w:sz w:val="20"/>
        <w:szCs w:val="20"/>
      </w:rPr>
      <w:t>1</w:t>
    </w:r>
    <w:r w:rsidR="00B515B7" w:rsidRPr="007079BF">
      <w:rPr>
        <w:rFonts w:ascii="Arial" w:hAnsi="Arial" w:cs="Arial"/>
        <w:color w:val="244061" w:themeColor="accent1" w:themeShade="80"/>
        <w:sz w:val="20"/>
        <w:szCs w:val="20"/>
      </w:rPr>
      <w:fldChar w:fldCharType="end"/>
    </w:r>
    <w:r w:rsidR="00B515B7" w:rsidRPr="007079BF">
      <w:rPr>
        <w:rFonts w:ascii="Arial" w:hAnsi="Arial" w:cs="Arial"/>
        <w:color w:val="244061" w:themeColor="accent1" w:themeShade="80"/>
        <w:sz w:val="20"/>
        <w:szCs w:val="20"/>
      </w:rPr>
      <w:t xml:space="preserve"> of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NUMPAGES   \* MERGEFORMAT </w:instrText>
    </w:r>
    <w:r w:rsidR="00B515B7" w:rsidRPr="007079BF">
      <w:rPr>
        <w:rFonts w:ascii="Arial" w:hAnsi="Arial" w:cs="Arial"/>
        <w:color w:val="244061" w:themeColor="accent1" w:themeShade="80"/>
        <w:sz w:val="20"/>
        <w:szCs w:val="20"/>
      </w:rPr>
      <w:fldChar w:fldCharType="separate"/>
    </w:r>
    <w:r w:rsidR="003233E3">
      <w:rPr>
        <w:rFonts w:ascii="Arial" w:hAnsi="Arial" w:cs="Arial"/>
        <w:noProof/>
        <w:color w:val="244061" w:themeColor="accent1" w:themeShade="80"/>
        <w:sz w:val="20"/>
        <w:szCs w:val="20"/>
      </w:rPr>
      <w:t>7</w:t>
    </w:r>
    <w:r w:rsidR="00B515B7" w:rsidRPr="007079BF">
      <w:rPr>
        <w:rFonts w:ascii="Arial" w:hAnsi="Arial" w:cs="Arial"/>
        <w:color w:val="244061" w:themeColor="accent1" w:themeShade="80"/>
        <w:sz w:val="20"/>
        <w:szCs w:val="20"/>
      </w:rPr>
      <w:fldChar w:fldCharType="end"/>
    </w:r>
  </w:p>
  <w:p w14:paraId="7C883DFC" w14:textId="394DA231" w:rsidR="00B515B7" w:rsidRPr="00EC159B" w:rsidRDefault="00B515B7" w:rsidP="00B515B7">
    <w:pPr>
      <w:pStyle w:val="Footer"/>
      <w:jc w:val="right"/>
      <w:rPr>
        <w:rFonts w:ascii="Arial" w:hAnsi="Arial" w:cs="Arial"/>
        <w:color w:val="244061" w:themeColor="accent1" w:themeShade="80"/>
        <w:sz w:val="20"/>
        <w:szCs w:val="20"/>
      </w:rPr>
    </w:pPr>
    <w:bookmarkStart w:id="6" w:name="_Hlk501041592"/>
    <w:r w:rsidRPr="007079BF">
      <w:rPr>
        <w:rFonts w:ascii="Arial" w:hAnsi="Arial" w:cs="Arial"/>
        <w:color w:val="244061" w:themeColor="accent1" w:themeShade="80"/>
        <w:sz w:val="20"/>
        <w:szCs w:val="20"/>
      </w:rPr>
      <w:t>v.</w:t>
    </w:r>
    <w:r w:rsidR="00833F67">
      <w:rPr>
        <w:rFonts w:ascii="Arial" w:hAnsi="Arial" w:cs="Arial"/>
        <w:color w:val="244061" w:themeColor="accent1" w:themeShade="80"/>
        <w:sz w:val="20"/>
        <w:szCs w:val="20"/>
      </w:rPr>
      <w:t>2</w:t>
    </w:r>
    <w:r w:rsidRPr="007079BF">
      <w:rPr>
        <w:rFonts w:ascii="Arial" w:hAnsi="Arial" w:cs="Arial"/>
        <w:color w:val="244061" w:themeColor="accent1" w:themeShade="80"/>
        <w:sz w:val="20"/>
        <w:szCs w:val="20"/>
      </w:rPr>
      <w:t>.0-</w:t>
    </w:r>
    <w:r w:rsidR="00833F67">
      <w:rPr>
        <w:rFonts w:ascii="Arial" w:hAnsi="Arial" w:cs="Arial"/>
        <w:color w:val="244061" w:themeColor="accent1" w:themeShade="80"/>
        <w:sz w:val="20"/>
        <w:szCs w:val="20"/>
      </w:rPr>
      <w:t>03</w:t>
    </w:r>
    <w:r w:rsidRPr="007079BF">
      <w:rPr>
        <w:rFonts w:ascii="Arial" w:hAnsi="Arial" w:cs="Arial"/>
        <w:color w:val="244061" w:themeColor="accent1" w:themeShade="80"/>
        <w:sz w:val="20"/>
        <w:szCs w:val="20"/>
      </w:rPr>
      <w:t>/1</w:t>
    </w:r>
    <w:r w:rsidR="00833F67">
      <w:rPr>
        <w:rFonts w:ascii="Arial" w:hAnsi="Arial" w:cs="Arial"/>
        <w:color w:val="244061" w:themeColor="accent1" w:themeShade="80"/>
        <w:sz w:val="20"/>
        <w:szCs w:val="20"/>
      </w:rPr>
      <w:t>9</w:t>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0EA9" w14:textId="6412E301" w:rsidR="00291299" w:rsidRDefault="004A7DA1">
    <w:pPr>
      <w:pStyle w:val="Footer"/>
    </w:pPr>
    <w:r>
      <w:rPr>
        <w:noProof/>
      </w:rPr>
      <mc:AlternateContent>
        <mc:Choice Requires="wps">
          <w:drawing>
            <wp:anchor distT="0" distB="0" distL="0" distR="0" simplePos="0" relativeHeight="251661312" behindDoc="0" locked="0" layoutInCell="1" allowOverlap="1" wp14:anchorId="439B813E" wp14:editId="3FBA063C">
              <wp:simplePos x="635" y="635"/>
              <wp:positionH relativeFrom="page">
                <wp:align>center</wp:align>
              </wp:positionH>
              <wp:positionV relativeFrom="page">
                <wp:align>bottom</wp:align>
              </wp:positionV>
              <wp:extent cx="443865" cy="443865"/>
              <wp:effectExtent l="0" t="0" r="0" b="0"/>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52ACA" w14:textId="37E74799"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B813E" id="_x0000_t202" coordsize="21600,21600" o:spt="202" path="m,l,21600r21600,l21600,xe">
              <v:stroke joinstyle="miter"/>
              <v:path gradientshapeok="t" o:connecttype="rect"/>
            </v:shapetype>
            <v:shape id="Надпись 5"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7252ACA" w14:textId="37E74799"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C5F5" w14:textId="77777777" w:rsidR="00E04D2E" w:rsidRDefault="00E04D2E" w:rsidP="00B515B7">
      <w:r>
        <w:separator/>
      </w:r>
    </w:p>
  </w:footnote>
  <w:footnote w:type="continuationSeparator" w:id="0">
    <w:p w14:paraId="4D117EEE" w14:textId="77777777" w:rsidR="00E04D2E" w:rsidRDefault="00E04D2E" w:rsidP="00B515B7">
      <w:r>
        <w:continuationSeparator/>
      </w:r>
    </w:p>
  </w:footnote>
  <w:footnote w:type="continuationNotice" w:id="1">
    <w:p w14:paraId="200F06C2" w14:textId="77777777" w:rsidR="00E04D2E" w:rsidRDefault="00E04D2E"/>
  </w:footnote>
  <w:footnote w:id="2">
    <w:p w14:paraId="7AA51146" w14:textId="77777777" w:rsidR="00EA17F8" w:rsidRPr="007536B6" w:rsidRDefault="00EA17F8" w:rsidP="00EA17F8">
      <w:pPr>
        <w:pStyle w:val="FootnoteText"/>
      </w:pPr>
      <w:r>
        <w:rPr>
          <w:rStyle w:val="FootnoteReference"/>
        </w:rPr>
        <w:footnoteRef/>
      </w:r>
      <w:r>
        <w:t xml:space="preserve"> </w:t>
      </w:r>
      <w:bookmarkStart w:id="0" w:name="_Hlk501615245"/>
      <w:r w:rsidRPr="00A60B9F">
        <w:rPr>
          <w:rFonts w:ascii="Arial" w:hAnsi="Arial"/>
          <w:iCs/>
          <w:sz w:val="18"/>
          <w:szCs w:val="18"/>
          <w:lang w:val="en-US"/>
        </w:rPr>
        <w:t xml:space="preserve">Terms defined in the Glossary (GLO) </w:t>
      </w:r>
      <w:r w:rsidRPr="00A60B9F">
        <w:rPr>
          <w:rFonts w:ascii="Arial" w:hAnsi="Arial"/>
          <w:sz w:val="18"/>
          <w:szCs w:val="18"/>
          <w:lang w:val="en-US"/>
        </w:rPr>
        <w:t xml:space="preserve">or the glossary sections in the Rules </w:t>
      </w:r>
      <w:r w:rsidRPr="00A60B9F">
        <w:rPr>
          <w:rFonts w:ascii="Arial" w:hAnsi="Arial"/>
          <w:iCs/>
          <w:sz w:val="18"/>
          <w:szCs w:val="18"/>
          <w:lang w:val="en-US"/>
        </w:rPr>
        <w:t xml:space="preserve">are identified by the </w:t>
      </w:r>
      <w:proofErr w:type="spellStart"/>
      <w:r w:rsidRPr="00A60B9F">
        <w:rPr>
          <w:rFonts w:ascii="Arial" w:hAnsi="Arial"/>
          <w:iCs/>
          <w:sz w:val="18"/>
          <w:szCs w:val="18"/>
          <w:lang w:val="en-US"/>
        </w:rPr>
        <w:t>capitalisation</w:t>
      </w:r>
      <w:proofErr w:type="spellEnd"/>
      <w:r w:rsidRPr="00A60B9F">
        <w:rPr>
          <w:rFonts w:ascii="Arial" w:hAnsi="Arial"/>
          <w:iCs/>
          <w:sz w:val="18"/>
          <w:szCs w:val="18"/>
          <w:lang w:val="en-US"/>
        </w:rPr>
        <w:t xml:space="preserve"> of the initial letter of a word or of each word in a phrase</w:t>
      </w:r>
      <w:r w:rsidRPr="007536B6">
        <w:rPr>
          <w:rFonts w:ascii="Arial" w:hAnsi="Arial"/>
          <w:iCs/>
          <w:sz w:val="18"/>
          <w:szCs w:val="18"/>
          <w:lang w:val="en-US"/>
        </w:rPr>
        <w:t>, unless the context otherwise requires the word to have its natural meaning.</w:t>
      </w:r>
      <w:bookmarkEnd w:id="0"/>
    </w:p>
  </w:footnote>
  <w:footnote w:id="3">
    <w:p w14:paraId="573B8F57" w14:textId="77777777" w:rsidR="00B515B7" w:rsidRPr="007536B6" w:rsidRDefault="00B515B7" w:rsidP="00B515B7">
      <w:pPr>
        <w:pStyle w:val="FootnoteText"/>
        <w:keepLines/>
        <w:contextualSpacing/>
        <w:jc w:val="both"/>
        <w:rPr>
          <w:rFonts w:ascii="Arial" w:hAnsi="Arial"/>
          <w:i/>
          <w:iCs/>
          <w:color w:val="404040" w:themeColor="text1" w:themeTint="BF"/>
          <w:sz w:val="18"/>
          <w:szCs w:val="18"/>
        </w:rPr>
      </w:pPr>
      <w:r w:rsidRPr="007536B6">
        <w:rPr>
          <w:rStyle w:val="FootnoteReference"/>
          <w:i/>
        </w:rPr>
        <w:footnoteRef/>
      </w:r>
      <w:r w:rsidRPr="007536B6">
        <w:rPr>
          <w:i/>
          <w:iCs/>
          <w:sz w:val="18"/>
          <w:szCs w:val="18"/>
        </w:rPr>
        <w:t xml:space="preserve"> </w:t>
      </w:r>
      <w:bookmarkStart w:id="1" w:name="_Hlk501617138"/>
      <w:r w:rsidRPr="007536B6">
        <w:rPr>
          <w:rStyle w:val="FootnoteChar"/>
          <w:rFonts w:ascii="Arial" w:hAnsi="Arial"/>
          <w:i w:val="0"/>
        </w:rPr>
        <w:t>The terms “you” and “your” as used throughout are not implied in the personal sense, but rather refer to the applicant applying for a Licence to carry on Regulated Activities.  The terms “we” and “our” refer to the AFSA.</w:t>
      </w:r>
      <w:bookmarkEnd w:id="1"/>
    </w:p>
  </w:footnote>
  <w:footnote w:id="4">
    <w:p w14:paraId="37C8B16E" w14:textId="77777777" w:rsidR="000779D9" w:rsidRPr="006B2D2F" w:rsidRDefault="000779D9" w:rsidP="000779D9">
      <w:pPr>
        <w:pStyle w:val="FootnoteText"/>
        <w:keepLines/>
        <w:spacing w:after="120"/>
        <w:jc w:val="both"/>
        <w:rPr>
          <w:rStyle w:val="FootnoteChar"/>
          <w:rFonts w:ascii="Arial" w:hAnsi="Arial"/>
          <w:i w:val="0"/>
        </w:rPr>
      </w:pPr>
      <w:r w:rsidRPr="006B2D2F">
        <w:rPr>
          <w:rStyle w:val="FootnoteReference"/>
          <w:rFonts w:ascii="Arial" w:hAnsi="Arial"/>
          <w:iCs/>
          <w:color w:val="404040" w:themeColor="text1" w:themeTint="BF"/>
          <w:sz w:val="18"/>
          <w:szCs w:val="18"/>
        </w:rPr>
        <w:footnoteRef/>
      </w:r>
      <w:r w:rsidRPr="006B2D2F">
        <w:rPr>
          <w:rStyle w:val="FootnoteChar"/>
          <w:rFonts w:ascii="Arial" w:hAnsi="Arial"/>
        </w:rPr>
        <w:t xml:space="preserve"> </w:t>
      </w:r>
      <w:r w:rsidRPr="00D23B42">
        <w:rPr>
          <w:rStyle w:val="FootnoteChar"/>
          <w:rFonts w:ascii="Arial" w:hAnsi="Arial"/>
          <w:i w:val="0"/>
        </w:rPr>
        <w:t>Or the person who will be authorised by the entity once it has been incorporated or established.</w:t>
      </w:r>
    </w:p>
  </w:footnote>
  <w:footnote w:id="5">
    <w:p w14:paraId="0C502E38" w14:textId="77777777" w:rsidR="00712029" w:rsidRPr="00131480" w:rsidRDefault="00712029" w:rsidP="00712029">
      <w:pPr>
        <w:pStyle w:val="FootnoteText"/>
        <w:rPr>
          <w:rFonts w:ascii="Arial" w:hAnsi="Arial"/>
          <w:iCs/>
          <w:sz w:val="18"/>
          <w:szCs w:val="18"/>
        </w:rPr>
      </w:pPr>
      <w:r w:rsidRPr="00131480">
        <w:rPr>
          <w:rStyle w:val="FootnoteReference"/>
          <w:rFonts w:ascii="Arial" w:hAnsi="Arial"/>
          <w:iCs/>
          <w:sz w:val="18"/>
          <w:szCs w:val="18"/>
        </w:rPr>
        <w:footnoteRef/>
      </w:r>
      <w:r w:rsidRPr="00131480">
        <w:rPr>
          <w:rFonts w:ascii="Arial" w:hAnsi="Arial"/>
          <w:iCs/>
          <w:sz w:val="18"/>
          <w:szCs w:val="18"/>
        </w:rPr>
        <w:t xml:space="preserve"> It might be more convenient to attach these flow charts with this supplement.  If so, indicate such is the case.</w:t>
      </w:r>
    </w:p>
  </w:footnote>
  <w:footnote w:id="6">
    <w:p w14:paraId="15EDEEF2" w14:textId="04EFBCB4" w:rsidR="00F144EA" w:rsidRPr="00BF0344" w:rsidRDefault="00F144EA" w:rsidP="00BF0344">
      <w:pPr>
        <w:pStyle w:val="FootnoteText"/>
        <w:jc w:val="both"/>
        <w:rPr>
          <w:rFonts w:ascii="Arial" w:hAnsi="Arial"/>
          <w:iCs/>
          <w:color w:val="404040" w:themeColor="text1" w:themeTint="BF"/>
          <w:sz w:val="18"/>
          <w:szCs w:val="18"/>
        </w:rPr>
      </w:pPr>
      <w:r w:rsidRPr="00BF0344">
        <w:rPr>
          <w:rStyle w:val="FootnoteReference"/>
          <w:rFonts w:ascii="Arial" w:hAnsi="Arial"/>
          <w:iCs/>
          <w:color w:val="404040" w:themeColor="text1" w:themeTint="BF"/>
          <w:sz w:val="18"/>
          <w:szCs w:val="18"/>
        </w:rPr>
        <w:footnoteRef/>
      </w:r>
      <w:r w:rsidRPr="00BF0344">
        <w:rPr>
          <w:rFonts w:ascii="Arial" w:hAnsi="Arial"/>
          <w:iCs/>
          <w:color w:val="404040" w:themeColor="text1" w:themeTint="BF"/>
          <w:sz w:val="18"/>
          <w:szCs w:val="18"/>
        </w:rPr>
        <w:t xml:space="preserve"> We would expect a description to include details of any stress testing and validation model-based techniques used.</w:t>
      </w:r>
    </w:p>
  </w:footnote>
  <w:footnote w:id="7">
    <w:p w14:paraId="63F46419" w14:textId="77777777" w:rsidR="00F144EA" w:rsidRPr="00652EDB" w:rsidRDefault="00F144EA" w:rsidP="00BF0344">
      <w:pPr>
        <w:pStyle w:val="FootnoteText"/>
        <w:jc w:val="both"/>
        <w:rPr>
          <w:color w:val="002060"/>
        </w:rPr>
      </w:pPr>
      <w:r w:rsidRPr="00BF0344">
        <w:rPr>
          <w:rStyle w:val="FootnoteReference"/>
          <w:rFonts w:ascii="Arial" w:hAnsi="Arial"/>
          <w:iCs/>
          <w:color w:val="404040" w:themeColor="text1" w:themeTint="BF"/>
          <w:sz w:val="18"/>
          <w:szCs w:val="18"/>
        </w:rPr>
        <w:footnoteRef/>
      </w:r>
      <w:r w:rsidRPr="00BF0344">
        <w:rPr>
          <w:rFonts w:ascii="Arial" w:hAnsi="Arial"/>
          <w:iCs/>
          <w:color w:val="404040" w:themeColor="text1" w:themeTint="BF"/>
          <w:sz w:val="18"/>
          <w:szCs w:val="18"/>
        </w:rPr>
        <w:t xml:space="preserve"> We are interested to know how you will intend to manage Client accounts in terms of payments, distributions, valuations, and reporting.</w:t>
      </w:r>
    </w:p>
  </w:footnote>
  <w:footnote w:id="8">
    <w:p w14:paraId="3D546D04" w14:textId="3CAE4CD7" w:rsidR="00087F20" w:rsidRPr="00423319" w:rsidRDefault="00087F20" w:rsidP="00087F20">
      <w:pPr>
        <w:pStyle w:val="FootnoteText"/>
        <w:rPr>
          <w:rFonts w:ascii="Arial" w:hAnsi="Arial"/>
          <w:iCs/>
          <w:sz w:val="18"/>
          <w:szCs w:val="18"/>
        </w:rPr>
      </w:pPr>
      <w:r w:rsidRPr="009F5AA8">
        <w:rPr>
          <w:rStyle w:val="FootnoteReference"/>
          <w:iCs/>
          <w:color w:val="404040" w:themeColor="text1" w:themeTint="BF"/>
        </w:rPr>
        <w:footnoteRef/>
      </w:r>
      <w:r w:rsidRPr="00B50BAB">
        <w:rPr>
          <w:i/>
          <w:iCs/>
          <w:color w:val="404040" w:themeColor="text1" w:themeTint="BF"/>
        </w:rPr>
        <w:t xml:space="preserve"> </w:t>
      </w:r>
      <w:r w:rsidRPr="009F5AA8">
        <w:rPr>
          <w:rFonts w:ascii="Arial" w:hAnsi="Arial"/>
          <w:iCs/>
          <w:color w:val="404040" w:themeColor="text1" w:themeTint="BF"/>
          <w:sz w:val="18"/>
          <w:szCs w:val="18"/>
        </w:rPr>
        <w:t xml:space="preserve">Refer </w:t>
      </w:r>
      <w:r w:rsidRPr="00423319">
        <w:rPr>
          <w:rFonts w:ascii="Arial" w:hAnsi="Arial"/>
          <w:iCs/>
          <w:sz w:val="18"/>
          <w:szCs w:val="18"/>
        </w:rPr>
        <w:t>to AIFC Conduct of Business Rules 8.2 and 8.3.</w:t>
      </w:r>
    </w:p>
  </w:footnote>
  <w:footnote w:id="9">
    <w:p w14:paraId="5EE4EE72" w14:textId="5354504E" w:rsidR="00087F20" w:rsidRPr="00423319" w:rsidRDefault="00087F20" w:rsidP="00087F20">
      <w:pPr>
        <w:pStyle w:val="FootnoteText"/>
        <w:rPr>
          <w:rFonts w:ascii="Arial" w:hAnsi="Arial"/>
          <w:i/>
          <w:iCs/>
          <w:sz w:val="18"/>
          <w:szCs w:val="18"/>
        </w:rPr>
      </w:pPr>
      <w:r w:rsidRPr="00423319">
        <w:rPr>
          <w:rStyle w:val="FootnoteReference"/>
          <w:rFonts w:ascii="Arial" w:hAnsi="Arial"/>
          <w:iCs/>
          <w:sz w:val="18"/>
          <w:szCs w:val="18"/>
        </w:rPr>
        <w:footnoteRef/>
      </w:r>
      <w:r w:rsidRPr="00423319">
        <w:rPr>
          <w:rFonts w:ascii="Arial" w:hAnsi="Arial"/>
          <w:iCs/>
          <w:sz w:val="18"/>
          <w:szCs w:val="18"/>
        </w:rPr>
        <w:t xml:space="preserve"> Refer to </w:t>
      </w:r>
      <w:r w:rsidR="009F5AA8" w:rsidRPr="00423319">
        <w:rPr>
          <w:rFonts w:ascii="Arial" w:hAnsi="Arial"/>
          <w:iCs/>
          <w:sz w:val="18"/>
          <w:szCs w:val="18"/>
        </w:rPr>
        <w:t>AIFC Conduct of Business Rules, Chapter 16</w:t>
      </w:r>
      <w:r w:rsidRPr="00423319">
        <w:rPr>
          <w:rFonts w:ascii="Arial" w:hAnsi="Arial"/>
          <w:iCs/>
          <w:sz w:val="18"/>
          <w:szCs w:val="18"/>
        </w:rPr>
        <w:t xml:space="preserve"> – </w:t>
      </w:r>
      <w:r w:rsidRPr="00423319">
        <w:rPr>
          <w:rFonts w:ascii="Arial" w:hAnsi="Arial"/>
          <w:sz w:val="18"/>
          <w:szCs w:val="18"/>
        </w:rPr>
        <w:t>Record keeping.</w:t>
      </w:r>
    </w:p>
  </w:footnote>
  <w:footnote w:id="10">
    <w:p w14:paraId="423CF15C" w14:textId="3421A2F4" w:rsidR="00674FFD" w:rsidRPr="00423319" w:rsidRDefault="00674FFD">
      <w:pPr>
        <w:pStyle w:val="FootnoteText"/>
        <w:rPr>
          <w:rFonts w:ascii="Arial" w:hAnsi="Arial"/>
          <w:sz w:val="18"/>
          <w:szCs w:val="18"/>
        </w:rPr>
      </w:pPr>
      <w:r w:rsidRPr="00423319">
        <w:rPr>
          <w:rStyle w:val="FootnoteReference"/>
          <w:rFonts w:ascii="Arial" w:hAnsi="Arial"/>
          <w:sz w:val="18"/>
          <w:szCs w:val="18"/>
        </w:rPr>
        <w:footnoteRef/>
      </w:r>
      <w:r w:rsidRPr="00423319">
        <w:rPr>
          <w:rFonts w:ascii="Arial" w:hAnsi="Arial"/>
          <w:sz w:val="18"/>
          <w:szCs w:val="18"/>
        </w:rPr>
        <w:t xml:space="preserve"> This should include your recruitment process and ongoing training and competence programmes.</w:t>
      </w:r>
    </w:p>
  </w:footnote>
  <w:footnote w:id="11">
    <w:p w14:paraId="5A56659D" w14:textId="6A888360" w:rsidR="00087F20" w:rsidRPr="00423319" w:rsidRDefault="00087F20" w:rsidP="00087F20">
      <w:pPr>
        <w:pStyle w:val="FootnoteText"/>
        <w:rPr>
          <w:rFonts w:ascii="Arial" w:hAnsi="Arial"/>
          <w:sz w:val="18"/>
          <w:szCs w:val="18"/>
        </w:rPr>
      </w:pPr>
      <w:r w:rsidRPr="00423319">
        <w:rPr>
          <w:rStyle w:val="FootnoteReference"/>
          <w:rFonts w:ascii="Arial" w:hAnsi="Arial"/>
          <w:iCs/>
          <w:sz w:val="18"/>
          <w:szCs w:val="18"/>
        </w:rPr>
        <w:footnoteRef/>
      </w:r>
      <w:r w:rsidRPr="00423319">
        <w:rPr>
          <w:rFonts w:ascii="Arial" w:hAnsi="Arial"/>
          <w:iCs/>
          <w:sz w:val="18"/>
          <w:szCs w:val="18"/>
        </w:rPr>
        <w:t xml:space="preserve"> </w:t>
      </w:r>
      <w:r w:rsidR="00B420C2" w:rsidRPr="00423319">
        <w:rPr>
          <w:rFonts w:ascii="Arial" w:hAnsi="Arial"/>
          <w:iCs/>
          <w:sz w:val="18"/>
          <w:szCs w:val="18"/>
        </w:rPr>
        <w:t>Refer to AIFC Conduct of Business Rules, Chapter 15 –</w:t>
      </w:r>
      <w:r w:rsidRPr="00423319">
        <w:rPr>
          <w:rFonts w:ascii="Arial" w:hAnsi="Arial"/>
          <w:i/>
          <w:iCs/>
          <w:sz w:val="18"/>
          <w:szCs w:val="18"/>
        </w:rPr>
        <w:t xml:space="preserve"> </w:t>
      </w:r>
      <w:r w:rsidRPr="00423319">
        <w:rPr>
          <w:rFonts w:ascii="Arial" w:hAnsi="Arial"/>
          <w:sz w:val="18"/>
          <w:szCs w:val="18"/>
        </w:rPr>
        <w:t>Complaints Handling and Dispute Resolution.</w:t>
      </w:r>
      <w:r w:rsidRPr="00423319">
        <w:rPr>
          <w:rFonts w:ascii="Arial" w:hAnsi="Arial"/>
          <w:i/>
          <w:iCs/>
          <w:sz w:val="18"/>
          <w:szCs w:val="18"/>
        </w:rPr>
        <w:t xml:space="preserve">  </w:t>
      </w:r>
    </w:p>
  </w:footnote>
  <w:footnote w:id="12">
    <w:p w14:paraId="6F05D04E" w14:textId="1F2539E9" w:rsidR="00087F20" w:rsidRPr="00C36D7A" w:rsidRDefault="00087F20" w:rsidP="00C36D7A">
      <w:pPr>
        <w:pStyle w:val="FootnoteText"/>
        <w:jc w:val="both"/>
        <w:rPr>
          <w:rFonts w:ascii="Arial" w:hAnsi="Arial"/>
          <w:iCs/>
          <w:sz w:val="18"/>
          <w:szCs w:val="18"/>
        </w:rPr>
      </w:pPr>
      <w:r w:rsidRPr="00423319">
        <w:rPr>
          <w:rStyle w:val="FootnoteReference"/>
          <w:rFonts w:ascii="Arial" w:hAnsi="Arial"/>
          <w:iCs/>
          <w:sz w:val="18"/>
          <w:szCs w:val="18"/>
        </w:rPr>
        <w:footnoteRef/>
      </w:r>
      <w:r w:rsidRPr="00423319">
        <w:rPr>
          <w:rFonts w:ascii="Arial" w:hAnsi="Arial"/>
          <w:iCs/>
          <w:sz w:val="18"/>
          <w:szCs w:val="18"/>
        </w:rPr>
        <w:t xml:space="preserve"> Refer to </w:t>
      </w:r>
      <w:r w:rsidR="00C36D7A" w:rsidRPr="00423319">
        <w:rPr>
          <w:rFonts w:ascii="Arial" w:hAnsi="Arial"/>
          <w:iCs/>
          <w:sz w:val="18"/>
          <w:szCs w:val="18"/>
        </w:rPr>
        <w:t xml:space="preserve">AIFC Conduct of Business Rules </w:t>
      </w:r>
      <w:r w:rsidRPr="00423319">
        <w:rPr>
          <w:rFonts w:ascii="Arial" w:hAnsi="Arial"/>
          <w:iCs/>
          <w:sz w:val="18"/>
          <w:szCs w:val="18"/>
        </w:rPr>
        <w:t>6</w:t>
      </w:r>
      <w:r w:rsidR="00C36D7A" w:rsidRPr="00423319">
        <w:rPr>
          <w:rFonts w:ascii="Arial" w:hAnsi="Arial"/>
          <w:iCs/>
          <w:sz w:val="18"/>
          <w:szCs w:val="18"/>
        </w:rPr>
        <w:t xml:space="preserve">.1 - </w:t>
      </w:r>
      <w:r w:rsidRPr="00423319">
        <w:rPr>
          <w:rFonts w:ascii="Arial" w:hAnsi="Arial"/>
          <w:sz w:val="18"/>
          <w:szCs w:val="18"/>
        </w:rPr>
        <w:t>Best Execution</w:t>
      </w:r>
      <w:r w:rsidRPr="00423319">
        <w:rPr>
          <w:rFonts w:ascii="Arial" w:hAnsi="Arial"/>
          <w:iCs/>
          <w:sz w:val="18"/>
          <w:szCs w:val="18"/>
        </w:rPr>
        <w:t xml:space="preserve"> and 6.</w:t>
      </w:r>
      <w:r w:rsidR="00C36D7A" w:rsidRPr="00423319">
        <w:rPr>
          <w:rFonts w:ascii="Arial" w:hAnsi="Arial"/>
          <w:iCs/>
          <w:sz w:val="18"/>
          <w:szCs w:val="18"/>
        </w:rPr>
        <w:t>2.7</w:t>
      </w:r>
      <w:r w:rsidRPr="00423319">
        <w:rPr>
          <w:rFonts w:ascii="Arial" w:hAnsi="Arial"/>
          <w:iCs/>
          <w:sz w:val="18"/>
          <w:szCs w:val="18"/>
        </w:rPr>
        <w:t xml:space="preserve"> – </w:t>
      </w:r>
      <w:r w:rsidRPr="00423319">
        <w:rPr>
          <w:rFonts w:ascii="Arial" w:hAnsi="Arial"/>
          <w:sz w:val="18"/>
          <w:szCs w:val="18"/>
        </w:rPr>
        <w:t>Timely Execution</w:t>
      </w:r>
      <w:r w:rsidRPr="00423319">
        <w:rPr>
          <w:rFonts w:ascii="Arial" w:hAnsi="Arial"/>
          <w:iCs/>
          <w:sz w:val="18"/>
          <w:szCs w:val="18"/>
        </w:rPr>
        <w:t xml:space="preserve">.  Where a Client order is passed to another person to execute the Transaction, describe the procedures to be adopted to ensure Client orders are passed on in a timely fashion and are properly executed.  You should also address how you will manage any differences in work days </w:t>
      </w:r>
      <w:r w:rsidRPr="00C36D7A">
        <w:rPr>
          <w:rFonts w:ascii="Arial" w:hAnsi="Arial"/>
          <w:iCs/>
          <w:color w:val="404040" w:themeColor="text1" w:themeTint="BF"/>
          <w:sz w:val="18"/>
          <w:szCs w:val="18"/>
        </w:rPr>
        <w:t xml:space="preserve">and time between the </w:t>
      </w:r>
      <w:r w:rsidR="00C36D7A" w:rsidRPr="00C36D7A">
        <w:rPr>
          <w:rFonts w:ascii="Arial" w:hAnsi="Arial"/>
          <w:iCs/>
          <w:color w:val="404040" w:themeColor="text1" w:themeTint="BF"/>
          <w:sz w:val="18"/>
          <w:szCs w:val="18"/>
        </w:rPr>
        <w:t>AIFC</w:t>
      </w:r>
      <w:r w:rsidRPr="00C36D7A">
        <w:rPr>
          <w:rFonts w:ascii="Arial" w:hAnsi="Arial"/>
          <w:iCs/>
          <w:color w:val="404040" w:themeColor="text1" w:themeTint="BF"/>
          <w:sz w:val="18"/>
          <w:szCs w:val="18"/>
        </w:rPr>
        <w:t xml:space="preserve"> and the jurisdiction in which that other Person is located.</w:t>
      </w:r>
    </w:p>
  </w:footnote>
  <w:footnote w:id="13">
    <w:p w14:paraId="3EC4F4A5" w14:textId="498896C1" w:rsidR="00087F20" w:rsidRPr="00F80FEC" w:rsidRDefault="00087F20" w:rsidP="00F80FEC">
      <w:pPr>
        <w:pStyle w:val="FootnoteText"/>
        <w:jc w:val="both"/>
        <w:rPr>
          <w:rFonts w:ascii="Arial" w:hAnsi="Arial"/>
          <w:iCs/>
          <w:color w:val="404040" w:themeColor="text1" w:themeTint="BF"/>
          <w:sz w:val="18"/>
          <w:szCs w:val="18"/>
        </w:rPr>
      </w:pPr>
      <w:r w:rsidRPr="00F80FEC">
        <w:rPr>
          <w:rStyle w:val="FootnoteReference"/>
          <w:rFonts w:ascii="Arial" w:hAnsi="Arial"/>
          <w:iCs/>
          <w:color w:val="404040" w:themeColor="text1" w:themeTint="BF"/>
          <w:sz w:val="18"/>
          <w:szCs w:val="18"/>
        </w:rPr>
        <w:footnoteRef/>
      </w:r>
      <w:r w:rsidRPr="00F80FEC">
        <w:rPr>
          <w:rFonts w:ascii="Arial" w:hAnsi="Arial"/>
          <w:iCs/>
          <w:color w:val="404040" w:themeColor="text1" w:themeTint="BF"/>
          <w:sz w:val="18"/>
          <w:szCs w:val="18"/>
        </w:rPr>
        <w:t xml:space="preserve"> </w:t>
      </w:r>
      <w:r w:rsidR="00F80FEC" w:rsidRPr="00F80FEC">
        <w:rPr>
          <w:rFonts w:ascii="Arial" w:hAnsi="Arial"/>
          <w:iCs/>
          <w:color w:val="404040" w:themeColor="text1" w:themeTint="BF"/>
          <w:sz w:val="18"/>
          <w:szCs w:val="18"/>
        </w:rPr>
        <w:t>Refer to AIFC Conduct of Business Rules</w:t>
      </w:r>
      <w:r w:rsidRPr="00F80FEC">
        <w:rPr>
          <w:rFonts w:ascii="Arial" w:hAnsi="Arial"/>
          <w:iCs/>
          <w:color w:val="404040" w:themeColor="text1" w:themeTint="BF"/>
          <w:sz w:val="18"/>
          <w:szCs w:val="18"/>
        </w:rPr>
        <w:t xml:space="preserve">, </w:t>
      </w:r>
      <w:r w:rsidR="00F80FEC" w:rsidRPr="00F80FEC">
        <w:rPr>
          <w:rFonts w:ascii="Arial" w:hAnsi="Arial"/>
          <w:iCs/>
          <w:color w:val="404040" w:themeColor="text1" w:themeTint="BF"/>
          <w:sz w:val="18"/>
          <w:szCs w:val="18"/>
        </w:rPr>
        <w:t>Chapter 5</w:t>
      </w:r>
      <w:r w:rsidRPr="00F80FEC">
        <w:rPr>
          <w:rFonts w:ascii="Arial" w:hAnsi="Arial"/>
          <w:iCs/>
          <w:color w:val="404040" w:themeColor="text1" w:themeTint="BF"/>
          <w:sz w:val="18"/>
          <w:szCs w:val="18"/>
        </w:rPr>
        <w:t xml:space="preserve"> – </w:t>
      </w:r>
      <w:r w:rsidRPr="00F80FEC">
        <w:rPr>
          <w:rFonts w:ascii="Arial" w:hAnsi="Arial"/>
          <w:color w:val="404040" w:themeColor="text1" w:themeTint="BF"/>
          <w:sz w:val="18"/>
          <w:szCs w:val="18"/>
        </w:rPr>
        <w:t>Suitability</w:t>
      </w:r>
      <w:r w:rsidR="00F80FEC" w:rsidRPr="00F80FEC">
        <w:rPr>
          <w:rFonts w:ascii="Arial" w:hAnsi="Arial"/>
          <w:color w:val="404040" w:themeColor="text1" w:themeTint="BF"/>
          <w:sz w:val="18"/>
          <w:szCs w:val="18"/>
        </w:rPr>
        <w:t xml:space="preserve"> and Appropriateness</w:t>
      </w:r>
      <w:r w:rsidR="00F80FEC">
        <w:rPr>
          <w:rFonts w:ascii="Arial" w:hAnsi="Arial"/>
          <w:iCs/>
          <w:color w:val="404040" w:themeColor="text1" w:themeTint="BF"/>
          <w:sz w:val="18"/>
          <w:szCs w:val="18"/>
        </w:rPr>
        <w:t xml:space="preserve">. </w:t>
      </w:r>
    </w:p>
  </w:footnote>
  <w:footnote w:id="14">
    <w:p w14:paraId="4867E575" w14:textId="1884C6A8" w:rsidR="00087F20" w:rsidRPr="00B50BAB" w:rsidRDefault="00087F20" w:rsidP="00087F20">
      <w:pPr>
        <w:pStyle w:val="FootnoteText"/>
        <w:rPr>
          <w:i/>
          <w:iCs/>
          <w:color w:val="404040" w:themeColor="text1" w:themeTint="BF"/>
        </w:rPr>
      </w:pPr>
      <w:r w:rsidRPr="0003287A">
        <w:rPr>
          <w:rStyle w:val="FootnoteReference"/>
          <w:iCs/>
          <w:color w:val="404040" w:themeColor="text1" w:themeTint="BF"/>
        </w:rPr>
        <w:footnoteRef/>
      </w:r>
      <w:r w:rsidRPr="00320E6B">
        <w:rPr>
          <w:i/>
          <w:iCs/>
          <w:color w:val="404040" w:themeColor="text1" w:themeTint="BF"/>
        </w:rPr>
        <w:t xml:space="preserve"> </w:t>
      </w:r>
      <w:r w:rsidR="0003287A" w:rsidRPr="00F80FEC">
        <w:rPr>
          <w:rFonts w:ascii="Arial" w:hAnsi="Arial"/>
          <w:iCs/>
          <w:color w:val="404040" w:themeColor="text1" w:themeTint="BF"/>
          <w:sz w:val="18"/>
          <w:szCs w:val="18"/>
        </w:rPr>
        <w:t xml:space="preserve">Refer to AIFC Conduct of Business Rules, </w:t>
      </w:r>
      <w:r w:rsidR="0003287A">
        <w:rPr>
          <w:rFonts w:ascii="Arial" w:hAnsi="Arial"/>
          <w:iCs/>
          <w:color w:val="404040" w:themeColor="text1" w:themeTint="BF"/>
          <w:sz w:val="18"/>
          <w:szCs w:val="18"/>
        </w:rPr>
        <w:t>Chapter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B717" w14:textId="0C0F45A3" w:rsidR="00291299" w:rsidRDefault="004A7DA1">
    <w:pPr>
      <w:pStyle w:val="Header"/>
    </w:pPr>
    <w:r>
      <w:rPr>
        <w:noProof/>
      </w:rPr>
      <mc:AlternateContent>
        <mc:Choice Requires="wps">
          <w:drawing>
            <wp:anchor distT="0" distB="0" distL="0" distR="0" simplePos="0" relativeHeight="251659264" behindDoc="0" locked="0" layoutInCell="1" allowOverlap="1" wp14:anchorId="40EF2986" wp14:editId="071154F1">
              <wp:simplePos x="635" y="635"/>
              <wp:positionH relativeFrom="page">
                <wp:align>center</wp:align>
              </wp:positionH>
              <wp:positionV relativeFrom="page">
                <wp:align>top</wp:align>
              </wp:positionV>
              <wp:extent cx="443865" cy="443865"/>
              <wp:effectExtent l="0" t="0" r="0" b="9525"/>
              <wp:wrapNone/>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055F4" w14:textId="34BE640F"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F2986" id="_x0000_t202" coordsize="21600,21600" o:spt="202" path="m,l,21600r21600,l21600,xe">
              <v:stroke joinstyle="miter"/>
              <v:path gradientshapeok="t" o:connecttype="rect"/>
            </v:shapetype>
            <v:shape id="Надпись 3"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1055F4" w14:textId="34BE640F"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08AA" w14:textId="3D048F83" w:rsidR="00B515B7" w:rsidRPr="00EC159B" w:rsidRDefault="004A7DA1" w:rsidP="00B515B7">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73025C25" wp14:editId="2199D414">
              <wp:simplePos x="635" y="635"/>
              <wp:positionH relativeFrom="page">
                <wp:align>center</wp:align>
              </wp:positionH>
              <wp:positionV relativeFrom="page">
                <wp:align>top</wp:align>
              </wp:positionV>
              <wp:extent cx="443865" cy="443865"/>
              <wp:effectExtent l="0" t="0" r="0" b="9525"/>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2A205" w14:textId="5FBE463F"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025C25"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372A205" w14:textId="5FBE463F"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v:textbox>
              <w10:wrap anchorx="page" anchory="page"/>
            </v:shape>
          </w:pict>
        </mc:Fallback>
      </mc:AlternateContent>
    </w:r>
    <w:r w:rsidR="00B515B7"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2BA0" w14:textId="60DDCE2B" w:rsidR="00291299" w:rsidRDefault="004A7DA1">
    <w:pPr>
      <w:pStyle w:val="Header"/>
    </w:pPr>
    <w:r>
      <w:rPr>
        <w:noProof/>
      </w:rPr>
      <mc:AlternateContent>
        <mc:Choice Requires="wps">
          <w:drawing>
            <wp:anchor distT="0" distB="0" distL="0" distR="0" simplePos="0" relativeHeight="251658240" behindDoc="0" locked="0" layoutInCell="1" allowOverlap="1" wp14:anchorId="383B2D73" wp14:editId="7157B512">
              <wp:simplePos x="635" y="635"/>
              <wp:positionH relativeFrom="page">
                <wp:align>center</wp:align>
              </wp:positionH>
              <wp:positionV relativeFrom="page">
                <wp:align>top</wp:align>
              </wp:positionV>
              <wp:extent cx="443865" cy="443865"/>
              <wp:effectExtent l="0" t="0" r="0" b="9525"/>
              <wp:wrapNone/>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21F07" w14:textId="4D6D3359"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B2D73" id="_x0000_t202" coordsize="21600,21600" o:spt="202" path="m,l,21600r21600,l21600,xe">
              <v:stroke joinstyle="miter"/>
              <v:path gradientshapeok="t" o:connecttype="rect"/>
            </v:shapetype>
            <v:shape id="Надпись 2"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5021F07" w14:textId="4D6D3359" w:rsidR="004A7DA1" w:rsidRPr="004A7DA1" w:rsidRDefault="004A7DA1" w:rsidP="004A7DA1">
                    <w:pPr>
                      <w:rPr>
                        <w:rFonts w:ascii="Calibri" w:eastAsia="Calibri" w:hAnsi="Calibri" w:cs="Calibri"/>
                        <w:noProof/>
                        <w:color w:val="000000"/>
                        <w:sz w:val="16"/>
                        <w:szCs w:val="16"/>
                      </w:rPr>
                    </w:pPr>
                    <w:r w:rsidRPr="004A7DA1">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F87DBC"/>
    <w:multiLevelType w:val="multilevel"/>
    <w:tmpl w:val="213672F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8F7F7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F03191"/>
    <w:multiLevelType w:val="multilevel"/>
    <w:tmpl w:val="70A86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BE2DAE"/>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085571"/>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433579D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D03E54"/>
    <w:multiLevelType w:val="multilevel"/>
    <w:tmpl w:val="35EC2A92"/>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8084AD3"/>
    <w:multiLevelType w:val="multilevel"/>
    <w:tmpl w:val="B3DC9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F1496E"/>
    <w:multiLevelType w:val="multilevel"/>
    <w:tmpl w:val="078E2460"/>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585139452">
    <w:abstractNumId w:val="0"/>
  </w:num>
  <w:num w:numId="2" w16cid:durableId="1205096543">
    <w:abstractNumId w:val="1"/>
  </w:num>
  <w:num w:numId="3" w16cid:durableId="2145191154">
    <w:abstractNumId w:val="2"/>
  </w:num>
  <w:num w:numId="4" w16cid:durableId="1164004010">
    <w:abstractNumId w:val="3"/>
  </w:num>
  <w:num w:numId="5" w16cid:durableId="439225049">
    <w:abstractNumId w:val="4"/>
  </w:num>
  <w:num w:numId="6" w16cid:durableId="1179930966">
    <w:abstractNumId w:val="7"/>
  </w:num>
  <w:num w:numId="7" w16cid:durableId="46994973">
    <w:abstractNumId w:val="14"/>
  </w:num>
  <w:num w:numId="8" w16cid:durableId="1911650480">
    <w:abstractNumId w:val="10"/>
  </w:num>
  <w:num w:numId="9" w16cid:durableId="1568764836">
    <w:abstractNumId w:val="9"/>
  </w:num>
  <w:num w:numId="10" w16cid:durableId="405031583">
    <w:abstractNumId w:val="6"/>
  </w:num>
  <w:num w:numId="11" w16cid:durableId="1535312217">
    <w:abstractNumId w:val="12"/>
  </w:num>
  <w:num w:numId="12" w16cid:durableId="2079134899">
    <w:abstractNumId w:val="5"/>
  </w:num>
  <w:num w:numId="13" w16cid:durableId="1546989791">
    <w:abstractNumId w:val="11"/>
  </w:num>
  <w:num w:numId="14" w16cid:durableId="1514031565">
    <w:abstractNumId w:val="8"/>
  </w:num>
  <w:num w:numId="15" w16cid:durableId="1351301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E"/>
    <w:rsid w:val="0003287A"/>
    <w:rsid w:val="00057771"/>
    <w:rsid w:val="000779D9"/>
    <w:rsid w:val="00087F20"/>
    <w:rsid w:val="000B644F"/>
    <w:rsid w:val="000D22D8"/>
    <w:rsid w:val="000D50EB"/>
    <w:rsid w:val="00100C2E"/>
    <w:rsid w:val="00131480"/>
    <w:rsid w:val="00291299"/>
    <w:rsid w:val="00292116"/>
    <w:rsid w:val="002D7EC9"/>
    <w:rsid w:val="00303A5E"/>
    <w:rsid w:val="003233E3"/>
    <w:rsid w:val="00383C9E"/>
    <w:rsid w:val="003A571A"/>
    <w:rsid w:val="003F6B05"/>
    <w:rsid w:val="00414461"/>
    <w:rsid w:val="00423319"/>
    <w:rsid w:val="0044335B"/>
    <w:rsid w:val="00484F1C"/>
    <w:rsid w:val="00486CF7"/>
    <w:rsid w:val="00487170"/>
    <w:rsid w:val="0049131D"/>
    <w:rsid w:val="004A5F3E"/>
    <w:rsid w:val="004A7DA1"/>
    <w:rsid w:val="0050296F"/>
    <w:rsid w:val="005528C9"/>
    <w:rsid w:val="005D386C"/>
    <w:rsid w:val="006022A7"/>
    <w:rsid w:val="006156D5"/>
    <w:rsid w:val="00632264"/>
    <w:rsid w:val="00674FFD"/>
    <w:rsid w:val="006A3086"/>
    <w:rsid w:val="007068C9"/>
    <w:rsid w:val="00712029"/>
    <w:rsid w:val="00713191"/>
    <w:rsid w:val="007434EB"/>
    <w:rsid w:val="007536B6"/>
    <w:rsid w:val="007B31BC"/>
    <w:rsid w:val="007C12BB"/>
    <w:rsid w:val="007C3279"/>
    <w:rsid w:val="00833F67"/>
    <w:rsid w:val="00871C14"/>
    <w:rsid w:val="00892240"/>
    <w:rsid w:val="008975F7"/>
    <w:rsid w:val="008A074A"/>
    <w:rsid w:val="008A4FB7"/>
    <w:rsid w:val="008D5FAC"/>
    <w:rsid w:val="009F5AA8"/>
    <w:rsid w:val="00AB28F3"/>
    <w:rsid w:val="00AC51D4"/>
    <w:rsid w:val="00AC74EA"/>
    <w:rsid w:val="00B2451A"/>
    <w:rsid w:val="00B3771E"/>
    <w:rsid w:val="00B420C2"/>
    <w:rsid w:val="00B515B7"/>
    <w:rsid w:val="00BC3760"/>
    <w:rsid w:val="00BF0344"/>
    <w:rsid w:val="00C113B7"/>
    <w:rsid w:val="00C36D7A"/>
    <w:rsid w:val="00C7219D"/>
    <w:rsid w:val="00C96ED7"/>
    <w:rsid w:val="00D23B42"/>
    <w:rsid w:val="00D93776"/>
    <w:rsid w:val="00DB38C2"/>
    <w:rsid w:val="00E04D2E"/>
    <w:rsid w:val="00E133AD"/>
    <w:rsid w:val="00E21C63"/>
    <w:rsid w:val="00E22BD3"/>
    <w:rsid w:val="00E62675"/>
    <w:rsid w:val="00EA17F8"/>
    <w:rsid w:val="00EA184E"/>
    <w:rsid w:val="00ED5FCB"/>
    <w:rsid w:val="00EE5AC5"/>
    <w:rsid w:val="00F144EA"/>
    <w:rsid w:val="00F80FEC"/>
    <w:rsid w:val="00FF44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898E4"/>
  <w14:defaultImageDpi w14:val="300"/>
  <w15:docId w15:val="{B8384192-B684-48EC-8A36-0583D908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F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4E"/>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A184E"/>
    <w:rPr>
      <w:rFonts w:ascii="Lucida Grande CY" w:hAnsi="Lucida Grande CY" w:cs="Lucida Grande CY"/>
      <w:sz w:val="18"/>
      <w:szCs w:val="18"/>
      <w:lang w:val="en-US"/>
    </w:rPr>
  </w:style>
  <w:style w:type="paragraph" w:styleId="Header">
    <w:name w:val="header"/>
    <w:basedOn w:val="Normal"/>
    <w:link w:val="HeaderChar"/>
    <w:uiPriority w:val="99"/>
    <w:unhideWhenUsed/>
    <w:rsid w:val="00B515B7"/>
    <w:pPr>
      <w:tabs>
        <w:tab w:val="center" w:pos="4677"/>
        <w:tab w:val="right" w:pos="9355"/>
      </w:tabs>
    </w:pPr>
  </w:style>
  <w:style w:type="character" w:customStyle="1" w:styleId="HeaderChar">
    <w:name w:val="Header Char"/>
    <w:basedOn w:val="DefaultParagraphFont"/>
    <w:link w:val="Header"/>
    <w:uiPriority w:val="99"/>
    <w:rsid w:val="00B515B7"/>
    <w:rPr>
      <w:lang w:val="en-US"/>
    </w:rPr>
  </w:style>
  <w:style w:type="paragraph" w:styleId="Footer">
    <w:name w:val="footer"/>
    <w:basedOn w:val="Normal"/>
    <w:link w:val="FooterChar"/>
    <w:uiPriority w:val="99"/>
    <w:unhideWhenUsed/>
    <w:rsid w:val="00B515B7"/>
    <w:pPr>
      <w:tabs>
        <w:tab w:val="center" w:pos="4677"/>
        <w:tab w:val="right" w:pos="9355"/>
      </w:tabs>
    </w:pPr>
  </w:style>
  <w:style w:type="character" w:customStyle="1" w:styleId="FooterChar">
    <w:name w:val="Footer Char"/>
    <w:basedOn w:val="DefaultParagraphFont"/>
    <w:link w:val="Footer"/>
    <w:uiPriority w:val="99"/>
    <w:rsid w:val="00B515B7"/>
    <w:rPr>
      <w:lang w:val="en-US"/>
    </w:rPr>
  </w:style>
  <w:style w:type="character" w:styleId="FootnoteReference">
    <w:name w:val="footnote reference"/>
    <w:basedOn w:val="DefaultParagraphFont"/>
    <w:uiPriority w:val="99"/>
    <w:unhideWhenUsed/>
    <w:rsid w:val="00B515B7"/>
    <w:rPr>
      <w:vertAlign w:val="superscript"/>
    </w:rPr>
  </w:style>
  <w:style w:type="paragraph" w:styleId="FootnoteText">
    <w:name w:val="footnote text"/>
    <w:basedOn w:val="Normal"/>
    <w:link w:val="FootnoteTextChar"/>
    <w:uiPriority w:val="99"/>
    <w:unhideWhenUsed/>
    <w:rsid w:val="00B515B7"/>
    <w:rPr>
      <w:rFonts w:ascii="Calibri" w:eastAsia="Calibri" w:hAnsi="Calibri" w:cs="Arial"/>
      <w:sz w:val="20"/>
      <w:szCs w:val="20"/>
      <w:lang w:val="en-GB" w:eastAsia="en-US"/>
    </w:rPr>
  </w:style>
  <w:style w:type="character" w:customStyle="1" w:styleId="FootnoteTextChar">
    <w:name w:val="Footnote Text Char"/>
    <w:basedOn w:val="DefaultParagraphFont"/>
    <w:link w:val="FootnoteText"/>
    <w:uiPriority w:val="99"/>
    <w:rsid w:val="00B515B7"/>
    <w:rPr>
      <w:rFonts w:ascii="Calibri" w:eastAsia="Calibri" w:hAnsi="Calibri" w:cs="Arial"/>
      <w:sz w:val="20"/>
      <w:szCs w:val="20"/>
      <w:lang w:val="en-GB" w:eastAsia="en-US"/>
    </w:rPr>
  </w:style>
  <w:style w:type="character" w:customStyle="1" w:styleId="FootnoteChar">
    <w:name w:val="Footnote Char"/>
    <w:basedOn w:val="DefaultParagraphFont"/>
    <w:link w:val="Footnote"/>
    <w:locked/>
    <w:rsid w:val="00B515B7"/>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B515B7"/>
    <w:pPr>
      <w:keepLines/>
      <w:spacing w:after="80"/>
    </w:pPr>
    <w:rPr>
      <w:i/>
      <w:iCs/>
      <w:color w:val="404040" w:themeColor="text1" w:themeTint="BF"/>
      <w:sz w:val="18"/>
      <w:szCs w:val="18"/>
      <w:lang w:eastAsia="ru-RU"/>
    </w:rPr>
  </w:style>
  <w:style w:type="paragraph" w:styleId="BodyText">
    <w:name w:val="Body Text"/>
    <w:basedOn w:val="Normal"/>
    <w:link w:val="BodyTextChar"/>
    <w:uiPriority w:val="1"/>
    <w:qFormat/>
    <w:rsid w:val="00B515B7"/>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B515B7"/>
    <w:rPr>
      <w:rFonts w:ascii="Arial" w:eastAsia="Arial" w:hAnsi="Arial" w:cs="Arial"/>
      <w:sz w:val="20"/>
      <w:szCs w:val="20"/>
      <w:lang w:val="en-US" w:eastAsia="en-US"/>
    </w:rPr>
  </w:style>
  <w:style w:type="paragraph" w:styleId="ListParagraph">
    <w:name w:val="List Paragraph"/>
    <w:basedOn w:val="Normal"/>
    <w:uiPriority w:val="34"/>
    <w:qFormat/>
    <w:rsid w:val="003A571A"/>
    <w:pPr>
      <w:ind w:left="720"/>
      <w:contextualSpacing/>
    </w:pPr>
    <w:rPr>
      <w:rFonts w:eastAsiaTheme="minorHAnsi"/>
      <w:sz w:val="22"/>
      <w:szCs w:val="22"/>
      <w:lang w:val="en-GB" w:eastAsia="en-US"/>
    </w:rPr>
  </w:style>
  <w:style w:type="table" w:styleId="TableGrid">
    <w:name w:val="Table Grid"/>
    <w:basedOn w:val="TableNormal"/>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79D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9" ma:contentTypeDescription="Создание документа." ma:contentTypeScope="" ma:versionID="50ea5306c3b956bfce685eb673104595">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58e7efa50d7182c48bcab18c9b7fffbf"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DFF7-24C6-4DBB-A001-FB53912A6CEC}"/>
</file>

<file path=customXml/itemProps2.xml><?xml version="1.0" encoding="utf-8"?>
<ds:datastoreItem xmlns:ds="http://schemas.openxmlformats.org/officeDocument/2006/customXml" ds:itemID="{8F1AAABA-44E2-4EA9-9C98-A85C693DC62C}">
  <ds:schemaRefs>
    <ds:schemaRef ds:uri="http://schemas.microsoft.com/sharepoint/v3/contenttype/forms"/>
  </ds:schemaRefs>
</ds:datastoreItem>
</file>

<file path=customXml/itemProps3.xml><?xml version="1.0" encoding="utf-8"?>
<ds:datastoreItem xmlns:ds="http://schemas.openxmlformats.org/officeDocument/2006/customXml" ds:itemID="{E2ACCB8D-094C-4756-A31A-82E7C3228DC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6CCF7D51-B3F8-472B-B77E-6F974C7A0A2D}">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1525</Words>
  <Characters>8364</Characters>
  <Application>Microsoft Office Word</Application>
  <DocSecurity>0</DocSecurity>
  <Lines>298</Lines>
  <Paragraphs>101</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Assem Akhanova</cp:lastModifiedBy>
  <cp:revision>57</cp:revision>
  <dcterms:created xsi:type="dcterms:W3CDTF">2023-01-16T06:41:00Z</dcterms:created>
  <dcterms:modified xsi:type="dcterms:W3CDTF">2023-11-02T06:36:00Z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#000000,8,Calibri</vt:lpwstr>
  </property>
  <property fmtid="{D5CDD505-2E9C-101B-9397-08002B2CF9AE}" pid="6" name="ClassificationContentMarkingHeaderText">
    <vt:lpwstr>Classification: Restricted</vt:lpwstr>
  </property>
  <property fmtid="{D5CDD505-2E9C-101B-9397-08002B2CF9AE}" pid="7" name="ClassificationContentMarkingFooterShapeIds">
    <vt:lpwstr>5,6,7</vt:lpwstr>
  </property>
  <property fmtid="{D5CDD505-2E9C-101B-9397-08002B2CF9AE}" pid="8" name="ClassificationContentMarkingFooterFontProps">
    <vt:lpwstr>#000000,8,Calibri</vt:lpwstr>
  </property>
  <property fmtid="{D5CDD505-2E9C-101B-9397-08002B2CF9AE}" pid="9" name="ClassificationContentMarkingFooterText">
    <vt:lpwstr>Classification: Restricted</vt:lpwstr>
  </property>
  <property fmtid="{D5CDD505-2E9C-101B-9397-08002B2CF9AE}" pid="10" name="MSIP_Label_527cfdd3-0dae-47cf-bbbc-81d10b5a556d_Enabled">
    <vt:lpwstr>true</vt:lpwstr>
  </property>
  <property fmtid="{D5CDD505-2E9C-101B-9397-08002B2CF9AE}" pid="11" name="MSIP_Label_527cfdd3-0dae-47cf-bbbc-81d10b5a556d_SetDate">
    <vt:lpwstr>2023-01-16T06:41:02Z</vt:lpwstr>
  </property>
  <property fmtid="{D5CDD505-2E9C-101B-9397-08002B2CF9AE}" pid="12" name="MSIP_Label_527cfdd3-0dae-47cf-bbbc-81d10b5a556d_Method">
    <vt:lpwstr>Standard</vt:lpwstr>
  </property>
  <property fmtid="{D5CDD505-2E9C-101B-9397-08002B2CF9AE}" pid="13" name="MSIP_Label_527cfdd3-0dae-47cf-bbbc-81d10b5a556d_Name">
    <vt:lpwstr>Restricted</vt:lpwstr>
  </property>
  <property fmtid="{D5CDD505-2E9C-101B-9397-08002B2CF9AE}" pid="14" name="MSIP_Label_527cfdd3-0dae-47cf-bbbc-81d10b5a556d_SiteId">
    <vt:lpwstr>1bf47948-c1be-432d-8804-07eb905182f1</vt:lpwstr>
  </property>
  <property fmtid="{D5CDD505-2E9C-101B-9397-08002B2CF9AE}" pid="15" name="MSIP_Label_527cfdd3-0dae-47cf-bbbc-81d10b5a556d_ActionId">
    <vt:lpwstr>8604a039-e3ea-4343-b793-9424c638d658</vt:lpwstr>
  </property>
  <property fmtid="{D5CDD505-2E9C-101B-9397-08002B2CF9AE}" pid="16" name="MSIP_Label_527cfdd3-0dae-47cf-bbbc-81d10b5a556d_ContentBits">
    <vt:lpwstr>3</vt:lpwstr>
  </property>
  <property fmtid="{D5CDD505-2E9C-101B-9397-08002B2CF9AE}" pid="17" name="GrammarlyDocumentId">
    <vt:lpwstr>82889f348ee2042f38fd271952f50bc94a02fa09a41ba8334d7d8f25041761fa</vt:lpwstr>
  </property>
</Properties>
</file>