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32D9" w14:textId="0E75C6E9" w:rsidR="00024538" w:rsidRPr="001570CD" w:rsidRDefault="00024538" w:rsidP="003B475F">
      <w:pPr>
        <w:spacing w:line="360" w:lineRule="auto"/>
        <w:jc w:val="both"/>
      </w:pPr>
    </w:p>
    <w:p w14:paraId="087085A6" w14:textId="77777777" w:rsidR="00E33181" w:rsidRPr="007B3F28" w:rsidRDefault="00A70EF4" w:rsidP="003B475F">
      <w:pPr>
        <w:pStyle w:val="ListParagraph"/>
        <w:spacing w:line="360" w:lineRule="auto"/>
        <w:ind w:left="0"/>
        <w:contextualSpacing w:val="0"/>
        <w:jc w:val="center"/>
        <w:rPr>
          <w:rFonts w:ascii="Arial" w:hAnsi="Arial" w:cs="Arial"/>
          <w:b/>
          <w:bCs/>
          <w:sz w:val="32"/>
          <w:szCs w:val="32"/>
        </w:rPr>
      </w:pPr>
      <w:r w:rsidRPr="003B475F">
        <w:rPr>
          <w:rFonts w:ascii="Arial" w:hAnsi="Arial"/>
          <w:b/>
          <w:sz w:val="32"/>
        </w:rPr>
        <w:t xml:space="preserve">REPORT </w:t>
      </w:r>
    </w:p>
    <w:p w14:paraId="4E015E5D" w14:textId="36E66FEE" w:rsidR="00024538" w:rsidRPr="007B3F28" w:rsidRDefault="00A70EF4" w:rsidP="003B475F">
      <w:pPr>
        <w:pStyle w:val="ListParagraph"/>
        <w:spacing w:line="360" w:lineRule="auto"/>
        <w:ind w:left="0"/>
        <w:contextualSpacing w:val="0"/>
        <w:jc w:val="center"/>
        <w:rPr>
          <w:rFonts w:ascii="Arial" w:hAnsi="Arial" w:cs="Arial"/>
          <w:b/>
          <w:bCs/>
          <w:sz w:val="32"/>
          <w:szCs w:val="32"/>
        </w:rPr>
      </w:pPr>
      <w:r w:rsidRPr="003B475F">
        <w:rPr>
          <w:rFonts w:ascii="Arial" w:hAnsi="Arial"/>
          <w:b/>
          <w:sz w:val="32"/>
        </w:rPr>
        <w:t>ON SECTORAL RISK ASSESSMENT OF MONEY LAUNDERING AND TERRORIST FINANCING USING THE DIGITAL ASSET SECTOR IN THE AIFC</w:t>
      </w:r>
    </w:p>
    <w:p w14:paraId="4F37956E" w14:textId="77777777" w:rsidR="00024538" w:rsidRPr="007B3F28" w:rsidRDefault="00024538" w:rsidP="003B475F">
      <w:pPr>
        <w:pStyle w:val="ListParagraph"/>
        <w:spacing w:line="360" w:lineRule="auto"/>
        <w:ind w:left="0"/>
        <w:contextualSpacing w:val="0"/>
        <w:jc w:val="both"/>
        <w:rPr>
          <w:rFonts w:ascii="Arial" w:hAnsi="Arial" w:cs="Arial"/>
          <w:b/>
          <w:bCs/>
          <w:sz w:val="32"/>
          <w:szCs w:val="32"/>
        </w:rPr>
      </w:pPr>
    </w:p>
    <w:p w14:paraId="34DD163E" w14:textId="77777777" w:rsidR="00024538" w:rsidRPr="007B3F28" w:rsidRDefault="00024538" w:rsidP="003B475F">
      <w:pPr>
        <w:spacing w:line="360" w:lineRule="auto"/>
        <w:jc w:val="both"/>
        <w:rPr>
          <w:rFonts w:ascii="Arial" w:hAnsi="Arial" w:cs="Arial"/>
          <w:b/>
          <w:bCs/>
          <w:sz w:val="32"/>
          <w:szCs w:val="32"/>
        </w:rPr>
      </w:pPr>
    </w:p>
    <w:p w14:paraId="65EECDB3" w14:textId="77777777" w:rsidR="00C86BC9" w:rsidRPr="007B3F28" w:rsidRDefault="00C86BC9" w:rsidP="003B475F">
      <w:pPr>
        <w:spacing w:line="360" w:lineRule="auto"/>
        <w:jc w:val="both"/>
        <w:rPr>
          <w:rFonts w:ascii="Arial" w:hAnsi="Arial" w:cs="Arial"/>
          <w:b/>
          <w:bCs/>
          <w:sz w:val="28"/>
          <w:szCs w:val="28"/>
        </w:rPr>
      </w:pPr>
    </w:p>
    <w:p w14:paraId="2A35F664" w14:textId="77777777" w:rsidR="00C86BC9" w:rsidRPr="007B3F28" w:rsidRDefault="00C86BC9" w:rsidP="003B475F">
      <w:pPr>
        <w:spacing w:line="360" w:lineRule="auto"/>
        <w:jc w:val="both"/>
        <w:rPr>
          <w:rFonts w:ascii="Arial" w:hAnsi="Arial" w:cs="Arial"/>
          <w:b/>
          <w:bCs/>
          <w:sz w:val="28"/>
          <w:szCs w:val="28"/>
        </w:rPr>
      </w:pPr>
    </w:p>
    <w:p w14:paraId="18B700E7" w14:textId="77777777" w:rsidR="00C86BC9" w:rsidRPr="007B3F28" w:rsidRDefault="00C86BC9" w:rsidP="003B475F">
      <w:pPr>
        <w:spacing w:line="360" w:lineRule="auto"/>
        <w:jc w:val="both"/>
        <w:rPr>
          <w:rFonts w:ascii="Arial" w:hAnsi="Arial" w:cs="Arial"/>
          <w:b/>
          <w:bCs/>
          <w:sz w:val="28"/>
          <w:szCs w:val="28"/>
        </w:rPr>
      </w:pPr>
    </w:p>
    <w:p w14:paraId="057CD04C" w14:textId="77777777" w:rsidR="00C86BC9" w:rsidRPr="007B3F28" w:rsidRDefault="00C86BC9" w:rsidP="003B475F">
      <w:pPr>
        <w:spacing w:line="360" w:lineRule="auto"/>
        <w:jc w:val="both"/>
        <w:rPr>
          <w:rFonts w:ascii="Arial" w:hAnsi="Arial" w:cs="Arial"/>
          <w:b/>
          <w:bCs/>
          <w:sz w:val="28"/>
          <w:szCs w:val="28"/>
        </w:rPr>
      </w:pPr>
    </w:p>
    <w:p w14:paraId="29B01557" w14:textId="77777777" w:rsidR="00C86BC9" w:rsidRPr="007B3F28" w:rsidRDefault="00C86BC9" w:rsidP="003B475F">
      <w:pPr>
        <w:spacing w:line="360" w:lineRule="auto"/>
        <w:jc w:val="both"/>
        <w:rPr>
          <w:rFonts w:ascii="Arial" w:hAnsi="Arial" w:cs="Arial"/>
          <w:b/>
          <w:bCs/>
          <w:sz w:val="28"/>
          <w:szCs w:val="28"/>
        </w:rPr>
      </w:pPr>
    </w:p>
    <w:p w14:paraId="52BF45C1" w14:textId="77777777" w:rsidR="00301D0F" w:rsidRPr="007B3F28" w:rsidRDefault="00301D0F" w:rsidP="003B475F">
      <w:pPr>
        <w:spacing w:line="360" w:lineRule="auto"/>
        <w:jc w:val="both"/>
        <w:rPr>
          <w:rFonts w:ascii="Arial" w:hAnsi="Arial" w:cs="Arial"/>
          <w:b/>
          <w:bCs/>
          <w:sz w:val="28"/>
          <w:szCs w:val="28"/>
        </w:rPr>
      </w:pPr>
    </w:p>
    <w:p w14:paraId="5694967C" w14:textId="77777777" w:rsidR="00301D0F" w:rsidRPr="007B3F28" w:rsidRDefault="00301D0F" w:rsidP="003B475F">
      <w:pPr>
        <w:spacing w:line="360" w:lineRule="auto"/>
        <w:jc w:val="both"/>
        <w:rPr>
          <w:rFonts w:ascii="Arial" w:hAnsi="Arial" w:cs="Arial"/>
          <w:b/>
          <w:bCs/>
          <w:sz w:val="28"/>
          <w:szCs w:val="28"/>
        </w:rPr>
      </w:pPr>
    </w:p>
    <w:p w14:paraId="3652DDC7" w14:textId="77777777" w:rsidR="00301D0F" w:rsidRPr="007B3F28" w:rsidRDefault="00301D0F" w:rsidP="003B475F">
      <w:pPr>
        <w:spacing w:line="360" w:lineRule="auto"/>
        <w:jc w:val="both"/>
        <w:rPr>
          <w:rFonts w:ascii="Arial" w:hAnsi="Arial" w:cs="Arial"/>
          <w:b/>
          <w:bCs/>
          <w:sz w:val="28"/>
          <w:szCs w:val="28"/>
        </w:rPr>
      </w:pPr>
    </w:p>
    <w:p w14:paraId="045901CA" w14:textId="77777777" w:rsidR="00301D0F" w:rsidRPr="007B3F28" w:rsidRDefault="00301D0F" w:rsidP="003B475F">
      <w:pPr>
        <w:spacing w:line="360" w:lineRule="auto"/>
        <w:jc w:val="both"/>
        <w:rPr>
          <w:rFonts w:ascii="Arial" w:hAnsi="Arial" w:cs="Arial"/>
          <w:b/>
          <w:bCs/>
          <w:sz w:val="28"/>
          <w:szCs w:val="28"/>
        </w:rPr>
      </w:pPr>
    </w:p>
    <w:p w14:paraId="389D7194" w14:textId="77777777" w:rsidR="00301D0F" w:rsidRPr="007B3F28" w:rsidRDefault="00301D0F" w:rsidP="003B475F">
      <w:pPr>
        <w:spacing w:line="360" w:lineRule="auto"/>
        <w:jc w:val="both"/>
        <w:rPr>
          <w:rFonts w:ascii="Arial" w:hAnsi="Arial" w:cs="Arial"/>
          <w:b/>
          <w:bCs/>
          <w:sz w:val="28"/>
          <w:szCs w:val="28"/>
        </w:rPr>
      </w:pPr>
    </w:p>
    <w:p w14:paraId="27BBDDF3" w14:textId="77777777" w:rsidR="00301D0F" w:rsidRPr="007B3F28" w:rsidRDefault="00301D0F" w:rsidP="003B475F">
      <w:pPr>
        <w:spacing w:line="360" w:lineRule="auto"/>
        <w:jc w:val="both"/>
        <w:rPr>
          <w:rFonts w:ascii="Arial" w:hAnsi="Arial" w:cs="Arial"/>
          <w:b/>
          <w:bCs/>
          <w:sz w:val="28"/>
          <w:szCs w:val="28"/>
        </w:rPr>
      </w:pPr>
    </w:p>
    <w:p w14:paraId="6693C665" w14:textId="0489ED2A" w:rsidR="00FE2C40" w:rsidRPr="00714CDE" w:rsidRDefault="00301D0F" w:rsidP="003B475F">
      <w:pPr>
        <w:spacing w:line="360" w:lineRule="auto"/>
        <w:jc w:val="right"/>
        <w:rPr>
          <w:sz w:val="24"/>
          <w:szCs w:val="24"/>
        </w:rPr>
      </w:pPr>
      <w:r w:rsidRPr="00714CDE">
        <w:rPr>
          <w:sz w:val="24"/>
          <w:szCs w:val="24"/>
        </w:rPr>
        <w:t xml:space="preserve">Approved by the </w:t>
      </w:r>
      <w:r w:rsidR="00E5093D" w:rsidRPr="00714CDE">
        <w:rPr>
          <w:sz w:val="24"/>
          <w:szCs w:val="24"/>
        </w:rPr>
        <w:t>resolution</w:t>
      </w:r>
      <w:r w:rsidRPr="00714CDE">
        <w:rPr>
          <w:sz w:val="24"/>
          <w:szCs w:val="24"/>
        </w:rPr>
        <w:t xml:space="preserve"> of the A</w:t>
      </w:r>
      <w:r w:rsidR="00E5093D" w:rsidRPr="00714CDE">
        <w:rPr>
          <w:sz w:val="24"/>
          <w:szCs w:val="24"/>
        </w:rPr>
        <w:t>FSA’s</w:t>
      </w:r>
      <w:r w:rsidRPr="00714CDE">
        <w:rPr>
          <w:sz w:val="24"/>
          <w:szCs w:val="24"/>
        </w:rPr>
        <w:t xml:space="preserve"> </w:t>
      </w:r>
      <w:r w:rsidR="00E5093D" w:rsidRPr="00714CDE">
        <w:rPr>
          <w:sz w:val="24"/>
          <w:szCs w:val="24"/>
        </w:rPr>
        <w:t>Executive Body</w:t>
      </w:r>
      <w:r w:rsidRPr="00714CDE">
        <w:rPr>
          <w:sz w:val="24"/>
          <w:szCs w:val="24"/>
        </w:rPr>
        <w:t xml:space="preserve"> </w:t>
      </w:r>
    </w:p>
    <w:p w14:paraId="115CE4BB" w14:textId="696E447A" w:rsidR="00301D0F" w:rsidRPr="00A835B7" w:rsidRDefault="00D03D3F" w:rsidP="003B475F">
      <w:pPr>
        <w:spacing w:line="360" w:lineRule="auto"/>
        <w:jc w:val="right"/>
        <w:rPr>
          <w:sz w:val="24"/>
          <w:szCs w:val="24"/>
          <w:lang w:val="ru-RU"/>
        </w:rPr>
      </w:pPr>
      <w:r>
        <w:rPr>
          <w:sz w:val="24"/>
          <w:szCs w:val="24"/>
        </w:rPr>
        <w:t>June 04, 2024</w:t>
      </w:r>
    </w:p>
    <w:p w14:paraId="33D5A9F1" w14:textId="77777777" w:rsidR="00864DCE" w:rsidRPr="00A835B7" w:rsidRDefault="00864DCE" w:rsidP="003B475F">
      <w:pPr>
        <w:spacing w:line="360" w:lineRule="auto"/>
        <w:jc w:val="right"/>
        <w:rPr>
          <w:sz w:val="24"/>
          <w:szCs w:val="24"/>
          <w:lang w:val="ru-RU"/>
        </w:rPr>
      </w:pPr>
    </w:p>
    <w:p w14:paraId="5A9FCD34" w14:textId="4DEF3935" w:rsidR="00864DCE" w:rsidRPr="00A923F5" w:rsidRDefault="00864DCE" w:rsidP="003B475F">
      <w:pPr>
        <w:spacing w:line="360" w:lineRule="auto"/>
        <w:jc w:val="center"/>
        <w:rPr>
          <w:rFonts w:ascii="Arial" w:hAnsi="Arial" w:cs="Arial"/>
          <w:b/>
          <w:bCs/>
          <w:sz w:val="24"/>
          <w:szCs w:val="24"/>
          <w:lang w:val="ru-RU"/>
        </w:rPr>
      </w:pPr>
      <w:r>
        <w:rPr>
          <w:sz w:val="24"/>
          <w:szCs w:val="24"/>
        </w:rPr>
        <w:t>Astana</w:t>
      </w:r>
    </w:p>
    <w:p w14:paraId="2E2FFB29" w14:textId="77777777" w:rsidR="00C86BC9" w:rsidRPr="00A835B7" w:rsidRDefault="00C86BC9" w:rsidP="003B475F">
      <w:pPr>
        <w:spacing w:line="360" w:lineRule="auto"/>
        <w:jc w:val="both"/>
        <w:rPr>
          <w:rFonts w:ascii="Arial" w:hAnsi="Arial" w:cs="Arial"/>
          <w:b/>
          <w:bCs/>
          <w:sz w:val="28"/>
          <w:szCs w:val="28"/>
          <w:lang w:val="ru-RU"/>
        </w:rPr>
      </w:pPr>
    </w:p>
    <w:sdt>
      <w:sdtPr>
        <w:rPr>
          <w:rFonts w:asciiTheme="minorHAnsi" w:eastAsiaTheme="minorEastAsia" w:hAnsiTheme="minorHAnsi" w:cstheme="minorBidi"/>
          <w:color w:val="auto"/>
          <w:kern w:val="2"/>
          <w:sz w:val="22"/>
          <w:szCs w:val="22"/>
          <w14:ligatures w14:val="standardContextual"/>
        </w:rPr>
        <w:id w:val="-677271979"/>
        <w:docPartObj>
          <w:docPartGallery w:val="Table of Contents"/>
          <w:docPartUnique/>
        </w:docPartObj>
      </w:sdtPr>
      <w:sdtEndPr>
        <w:rPr>
          <w:b/>
          <w:bCs/>
        </w:rPr>
      </w:sdtEndPr>
      <w:sdtContent>
        <w:p w14:paraId="3FAA2033" w14:textId="4E6115D8" w:rsidR="003B475F" w:rsidRPr="00714CDE" w:rsidRDefault="00D10959">
          <w:pPr>
            <w:pStyle w:val="TOCHeading"/>
            <w:rPr>
              <w:lang w:val="ru-RU"/>
            </w:rPr>
          </w:pPr>
          <w:r w:rsidRPr="00714CDE">
            <w:rPr>
              <w:rFonts w:ascii="Arial" w:eastAsiaTheme="minorEastAsia" w:hAnsi="Arial" w:cs="Arial"/>
              <w:color w:val="auto"/>
              <w:kern w:val="2"/>
              <w14:ligatures w14:val="standardContextual"/>
            </w:rPr>
            <w:t>Contents</w:t>
          </w:r>
        </w:p>
        <w:p w14:paraId="256BA8A0" w14:textId="4E69F5DE" w:rsidR="001C243B" w:rsidRPr="001C243B" w:rsidRDefault="003B475F">
          <w:pPr>
            <w:pStyle w:val="TOC1"/>
            <w:rPr>
              <w:rFonts w:eastAsiaTheme="minorEastAsia"/>
              <w:noProof/>
              <w:sz w:val="24"/>
              <w:szCs w:val="24"/>
              <w:lang w:val="ru-KZ" w:eastAsia="ru-KZ"/>
            </w:rPr>
          </w:pPr>
          <w:r w:rsidRPr="001C243B">
            <w:fldChar w:fldCharType="begin"/>
          </w:r>
          <w:r w:rsidRPr="001C243B">
            <w:instrText xml:space="preserve"> TOC \o "1-3" \h \z \u </w:instrText>
          </w:r>
          <w:r w:rsidRPr="001C243B">
            <w:fldChar w:fldCharType="separate"/>
          </w:r>
          <w:hyperlink w:anchor="_Toc170314413" w:history="1">
            <w:r w:rsidR="001C243B" w:rsidRPr="001C243B">
              <w:rPr>
                <w:rStyle w:val="Hyperlink"/>
                <w:rFonts w:ascii="Arial" w:hAnsi="Arial" w:cs="Arial"/>
                <w:b/>
                <w:bCs/>
                <w:noProof/>
              </w:rPr>
              <w:t>1.</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GENERAL CHARACTERISTICS OF THE SECTOR</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_Toc170314413 \h </w:instrText>
            </w:r>
            <w:r w:rsidR="001C243B" w:rsidRPr="001C243B">
              <w:rPr>
                <w:noProof/>
                <w:webHidden/>
              </w:rPr>
            </w:r>
            <w:r w:rsidR="001C243B" w:rsidRPr="001C243B">
              <w:rPr>
                <w:noProof/>
                <w:webHidden/>
              </w:rPr>
              <w:fldChar w:fldCharType="separate"/>
            </w:r>
            <w:r w:rsidR="001C243B" w:rsidRPr="001C243B">
              <w:rPr>
                <w:noProof/>
                <w:webHidden/>
              </w:rPr>
              <w:t>3</w:t>
            </w:r>
            <w:r w:rsidR="001C243B" w:rsidRPr="001C243B">
              <w:rPr>
                <w:noProof/>
                <w:webHidden/>
              </w:rPr>
              <w:fldChar w:fldCharType="end"/>
            </w:r>
          </w:hyperlink>
        </w:p>
        <w:p w14:paraId="2E30BF1E" w14:textId="4F8A835D" w:rsidR="001C243B" w:rsidRPr="001C243B" w:rsidRDefault="004F3B26">
          <w:pPr>
            <w:pStyle w:val="TOC1"/>
            <w:rPr>
              <w:rFonts w:eastAsiaTheme="minorEastAsia"/>
              <w:noProof/>
              <w:sz w:val="24"/>
              <w:szCs w:val="24"/>
              <w:lang w:val="ru-KZ" w:eastAsia="ru-KZ"/>
            </w:rPr>
          </w:pPr>
          <w:hyperlink w:anchor="_Toc170314414" w:history="1">
            <w:r w:rsidR="001C243B" w:rsidRPr="001C243B">
              <w:rPr>
                <w:rStyle w:val="Hyperlink"/>
                <w:rFonts w:ascii="Arial" w:hAnsi="Arial" w:cs="Arial"/>
                <w:b/>
                <w:bCs/>
                <w:noProof/>
                <w:lang w:val="ru-RU"/>
              </w:rPr>
              <w:t>2.</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CHARACTERISTICS OF THREATS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_Toc170314414 \h </w:instrText>
            </w:r>
            <w:r w:rsidR="001C243B" w:rsidRPr="001C243B">
              <w:rPr>
                <w:noProof/>
                <w:webHidden/>
              </w:rPr>
            </w:r>
            <w:r w:rsidR="001C243B" w:rsidRPr="001C243B">
              <w:rPr>
                <w:noProof/>
                <w:webHidden/>
              </w:rPr>
              <w:fldChar w:fldCharType="separate"/>
            </w:r>
            <w:r w:rsidR="001C243B" w:rsidRPr="001C243B">
              <w:rPr>
                <w:noProof/>
                <w:webHidden/>
              </w:rPr>
              <w:t>12</w:t>
            </w:r>
            <w:r w:rsidR="001C243B" w:rsidRPr="001C243B">
              <w:rPr>
                <w:noProof/>
                <w:webHidden/>
              </w:rPr>
              <w:fldChar w:fldCharType="end"/>
            </w:r>
          </w:hyperlink>
        </w:p>
        <w:p w14:paraId="1F20B632" w14:textId="2FC7332E" w:rsidR="001C243B" w:rsidRPr="001C243B" w:rsidRDefault="004F3B26">
          <w:pPr>
            <w:pStyle w:val="TOC2"/>
            <w:rPr>
              <w:rFonts w:eastAsiaTheme="minorEastAsia"/>
              <w:noProof/>
              <w:sz w:val="24"/>
              <w:szCs w:val="24"/>
              <w:lang w:val="ru-KZ" w:eastAsia="ru-KZ"/>
            </w:rPr>
          </w:pPr>
          <w:hyperlink w:anchor="_Toc170314415" w:history="1">
            <w:r w:rsidR="001C243B" w:rsidRPr="001C243B">
              <w:rPr>
                <w:rStyle w:val="Hyperlink"/>
                <w:rFonts w:ascii="Arial" w:hAnsi="Arial" w:cs="Arial"/>
                <w:b/>
                <w:bCs/>
                <w:noProof/>
              </w:rPr>
              <w:t>1)</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Drug trafficking</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_Toc170314415 \h </w:instrText>
            </w:r>
            <w:r w:rsidR="001C243B" w:rsidRPr="001C243B">
              <w:rPr>
                <w:noProof/>
                <w:webHidden/>
              </w:rPr>
            </w:r>
            <w:r w:rsidR="001C243B" w:rsidRPr="001C243B">
              <w:rPr>
                <w:noProof/>
                <w:webHidden/>
              </w:rPr>
              <w:fldChar w:fldCharType="separate"/>
            </w:r>
            <w:r w:rsidR="001C243B" w:rsidRPr="001C243B">
              <w:rPr>
                <w:noProof/>
                <w:webHidden/>
              </w:rPr>
              <w:t>12</w:t>
            </w:r>
            <w:r w:rsidR="001C243B" w:rsidRPr="001C243B">
              <w:rPr>
                <w:noProof/>
                <w:webHidden/>
              </w:rPr>
              <w:fldChar w:fldCharType="end"/>
            </w:r>
          </w:hyperlink>
        </w:p>
        <w:p w14:paraId="44FA5CE7" w14:textId="4FD5DFE3" w:rsidR="001C243B" w:rsidRPr="001C243B" w:rsidRDefault="004F3B26">
          <w:pPr>
            <w:pStyle w:val="TOC2"/>
            <w:rPr>
              <w:rFonts w:eastAsiaTheme="minorEastAsia"/>
              <w:noProof/>
              <w:sz w:val="24"/>
              <w:szCs w:val="24"/>
              <w:lang w:val="ru-KZ" w:eastAsia="ru-KZ"/>
            </w:rPr>
          </w:pPr>
          <w:hyperlink w:anchor="_Toc170314416" w:history="1">
            <w:r w:rsidR="001C243B" w:rsidRPr="001C243B">
              <w:rPr>
                <w:rStyle w:val="Hyperlink"/>
                <w:rFonts w:ascii="Arial" w:hAnsi="Arial" w:cs="Arial"/>
                <w:b/>
                <w:bCs/>
                <w:noProof/>
                <w:lang w:val="ru-RU"/>
              </w:rPr>
              <w:t>2)</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Fraud</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_Toc170314416 \h </w:instrText>
            </w:r>
            <w:r w:rsidR="001C243B" w:rsidRPr="001C243B">
              <w:rPr>
                <w:noProof/>
                <w:webHidden/>
              </w:rPr>
            </w:r>
            <w:r w:rsidR="001C243B" w:rsidRPr="001C243B">
              <w:rPr>
                <w:noProof/>
                <w:webHidden/>
              </w:rPr>
              <w:fldChar w:fldCharType="separate"/>
            </w:r>
            <w:r w:rsidR="001C243B" w:rsidRPr="001C243B">
              <w:rPr>
                <w:noProof/>
                <w:webHidden/>
              </w:rPr>
              <w:t>13</w:t>
            </w:r>
            <w:r w:rsidR="001C243B" w:rsidRPr="001C243B">
              <w:rPr>
                <w:noProof/>
                <w:webHidden/>
              </w:rPr>
              <w:fldChar w:fldCharType="end"/>
            </w:r>
          </w:hyperlink>
        </w:p>
        <w:p w14:paraId="53CAE15C" w14:textId="7F15FD83" w:rsidR="001C243B" w:rsidRPr="001C243B" w:rsidRDefault="004F3B26">
          <w:pPr>
            <w:pStyle w:val="TOC2"/>
            <w:rPr>
              <w:rFonts w:eastAsiaTheme="minorEastAsia"/>
              <w:noProof/>
              <w:sz w:val="24"/>
              <w:szCs w:val="24"/>
              <w:lang w:val="ru-KZ" w:eastAsia="ru-KZ"/>
            </w:rPr>
          </w:pPr>
          <w:hyperlink w:anchor="_Toc170314417" w:history="1">
            <w:r w:rsidR="001C243B" w:rsidRPr="001C243B">
              <w:rPr>
                <w:rStyle w:val="Hyperlink"/>
                <w:rFonts w:ascii="Arial" w:hAnsi="Arial" w:cs="Arial"/>
                <w:b/>
                <w:bCs/>
                <w:noProof/>
                <w:lang w:val="ru-RU"/>
              </w:rPr>
              <w:t>3)</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Tax evasion</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_Toc170314417 \h </w:instrText>
            </w:r>
            <w:r w:rsidR="001C243B" w:rsidRPr="001C243B">
              <w:rPr>
                <w:noProof/>
                <w:webHidden/>
              </w:rPr>
            </w:r>
            <w:r w:rsidR="001C243B" w:rsidRPr="001C243B">
              <w:rPr>
                <w:noProof/>
                <w:webHidden/>
              </w:rPr>
              <w:fldChar w:fldCharType="separate"/>
            </w:r>
            <w:r w:rsidR="001C243B" w:rsidRPr="001C243B">
              <w:rPr>
                <w:noProof/>
                <w:webHidden/>
              </w:rPr>
              <w:t>13</w:t>
            </w:r>
            <w:r w:rsidR="001C243B" w:rsidRPr="001C243B">
              <w:rPr>
                <w:noProof/>
                <w:webHidden/>
              </w:rPr>
              <w:fldChar w:fldCharType="end"/>
            </w:r>
          </w:hyperlink>
        </w:p>
        <w:p w14:paraId="29345F4A" w14:textId="5A325DFD" w:rsidR="001C243B" w:rsidRPr="001C243B" w:rsidRDefault="004F3B26">
          <w:pPr>
            <w:pStyle w:val="TOC2"/>
            <w:rPr>
              <w:rFonts w:eastAsiaTheme="minorEastAsia"/>
              <w:noProof/>
              <w:sz w:val="24"/>
              <w:szCs w:val="24"/>
              <w:lang w:val="ru-KZ" w:eastAsia="ru-KZ"/>
            </w:rPr>
          </w:pPr>
          <w:hyperlink w:anchor="_Toc170314418" w:history="1">
            <w:r w:rsidR="001C243B" w:rsidRPr="001C243B">
              <w:rPr>
                <w:rStyle w:val="Hyperlink"/>
                <w:rFonts w:ascii="Arial" w:hAnsi="Arial" w:cs="Arial"/>
                <w:b/>
                <w:bCs/>
                <w:noProof/>
                <w:lang w:val="ru-RU"/>
              </w:rPr>
              <w:t>4)</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Corruption</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_Toc170314418 \h </w:instrText>
            </w:r>
            <w:r w:rsidR="001C243B" w:rsidRPr="001C243B">
              <w:rPr>
                <w:noProof/>
                <w:webHidden/>
              </w:rPr>
            </w:r>
            <w:r w:rsidR="001C243B" w:rsidRPr="001C243B">
              <w:rPr>
                <w:noProof/>
                <w:webHidden/>
              </w:rPr>
              <w:fldChar w:fldCharType="separate"/>
            </w:r>
            <w:r w:rsidR="001C243B" w:rsidRPr="001C243B">
              <w:rPr>
                <w:noProof/>
                <w:webHidden/>
              </w:rPr>
              <w:t>14</w:t>
            </w:r>
            <w:r w:rsidR="001C243B" w:rsidRPr="001C243B">
              <w:rPr>
                <w:noProof/>
                <w:webHidden/>
              </w:rPr>
              <w:fldChar w:fldCharType="end"/>
            </w:r>
          </w:hyperlink>
        </w:p>
        <w:p w14:paraId="59385DB1" w14:textId="60DD4F8A" w:rsidR="001C243B" w:rsidRPr="001C243B" w:rsidRDefault="004F3B26">
          <w:pPr>
            <w:pStyle w:val="TOC2"/>
            <w:rPr>
              <w:rFonts w:eastAsiaTheme="minorEastAsia"/>
              <w:noProof/>
              <w:sz w:val="24"/>
              <w:szCs w:val="24"/>
              <w:lang w:val="ru-KZ" w:eastAsia="ru-KZ"/>
            </w:rPr>
          </w:pPr>
          <w:hyperlink w:anchor="_Toc170314419" w:history="1">
            <w:r w:rsidR="001C243B" w:rsidRPr="001C243B">
              <w:rPr>
                <w:rStyle w:val="Hyperlink"/>
                <w:rFonts w:ascii="Arial" w:hAnsi="Arial" w:cs="Arial"/>
                <w:b/>
                <w:bCs/>
                <w:noProof/>
                <w:lang w:val="ru-RU"/>
              </w:rPr>
              <w:t>5)</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Cybercrime</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_Toc170314419 \h </w:instrText>
            </w:r>
            <w:r w:rsidR="001C243B" w:rsidRPr="001C243B">
              <w:rPr>
                <w:noProof/>
                <w:webHidden/>
              </w:rPr>
            </w:r>
            <w:r w:rsidR="001C243B" w:rsidRPr="001C243B">
              <w:rPr>
                <w:noProof/>
                <w:webHidden/>
              </w:rPr>
              <w:fldChar w:fldCharType="separate"/>
            </w:r>
            <w:r w:rsidR="001C243B" w:rsidRPr="001C243B">
              <w:rPr>
                <w:noProof/>
                <w:webHidden/>
              </w:rPr>
              <w:t>15</w:t>
            </w:r>
            <w:r w:rsidR="001C243B" w:rsidRPr="001C243B">
              <w:rPr>
                <w:noProof/>
                <w:webHidden/>
              </w:rPr>
              <w:fldChar w:fldCharType="end"/>
            </w:r>
          </w:hyperlink>
        </w:p>
        <w:p w14:paraId="626F37E6" w14:textId="6D2FEBC5" w:rsidR="001C243B" w:rsidRPr="001C243B" w:rsidRDefault="004F3B26">
          <w:pPr>
            <w:pStyle w:val="TOC2"/>
            <w:rPr>
              <w:rFonts w:eastAsiaTheme="minorEastAsia"/>
              <w:noProof/>
              <w:sz w:val="24"/>
              <w:szCs w:val="24"/>
              <w:lang w:val="ru-KZ" w:eastAsia="ru-KZ"/>
            </w:rPr>
          </w:pPr>
          <w:hyperlink w:anchor="_Toc170314420" w:history="1">
            <w:r w:rsidR="001C243B" w:rsidRPr="001C243B">
              <w:rPr>
                <w:rStyle w:val="Hyperlink"/>
                <w:rFonts w:ascii="Arial" w:eastAsia="Arial" w:hAnsi="Arial" w:cs="Arial"/>
                <w:b/>
                <w:bCs/>
                <w:noProof/>
              </w:rPr>
              <w:t>6)</w:t>
            </w:r>
            <w:r w:rsidR="001C243B" w:rsidRPr="001C243B">
              <w:rPr>
                <w:rFonts w:eastAsiaTheme="minorEastAsia"/>
                <w:noProof/>
                <w:sz w:val="24"/>
                <w:szCs w:val="24"/>
                <w:lang w:val="ru-KZ" w:eastAsia="ru-KZ"/>
              </w:rPr>
              <w:tab/>
            </w:r>
            <w:r w:rsidR="001C243B" w:rsidRPr="001C243B">
              <w:rPr>
                <w:rStyle w:val="Hyperlink"/>
                <w:rFonts w:ascii="Arial" w:eastAsia="Arial" w:hAnsi="Arial" w:cs="Arial"/>
                <w:b/>
                <w:bCs/>
                <w:noProof/>
              </w:rPr>
              <w:t>Trading in the Darknet</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_Toc170314420 \h </w:instrText>
            </w:r>
            <w:r w:rsidR="001C243B" w:rsidRPr="001C243B">
              <w:rPr>
                <w:noProof/>
                <w:webHidden/>
              </w:rPr>
            </w:r>
            <w:r w:rsidR="001C243B" w:rsidRPr="001C243B">
              <w:rPr>
                <w:noProof/>
                <w:webHidden/>
              </w:rPr>
              <w:fldChar w:fldCharType="separate"/>
            </w:r>
            <w:r w:rsidR="001C243B" w:rsidRPr="001C243B">
              <w:rPr>
                <w:noProof/>
                <w:webHidden/>
              </w:rPr>
              <w:t>15</w:t>
            </w:r>
            <w:r w:rsidR="001C243B" w:rsidRPr="001C243B">
              <w:rPr>
                <w:noProof/>
                <w:webHidden/>
              </w:rPr>
              <w:fldChar w:fldCharType="end"/>
            </w:r>
          </w:hyperlink>
        </w:p>
        <w:p w14:paraId="5FC06245" w14:textId="0CD7C55E" w:rsidR="001C243B" w:rsidRPr="001C243B" w:rsidRDefault="004F3B26">
          <w:pPr>
            <w:pStyle w:val="TOC2"/>
            <w:rPr>
              <w:rFonts w:eastAsiaTheme="minorEastAsia"/>
              <w:noProof/>
              <w:sz w:val="24"/>
              <w:szCs w:val="24"/>
              <w:lang w:val="ru-KZ" w:eastAsia="ru-KZ"/>
            </w:rPr>
          </w:pPr>
          <w:hyperlink w:anchor="_Toc170314421" w:history="1">
            <w:r w:rsidR="001C243B" w:rsidRPr="001C243B">
              <w:rPr>
                <w:rStyle w:val="Hyperlink"/>
                <w:rFonts w:ascii="Arial" w:eastAsia="Arial" w:hAnsi="Arial" w:cs="Arial"/>
                <w:b/>
                <w:bCs/>
                <w:noProof/>
                <w:lang w:val="ru"/>
              </w:rPr>
              <w:t>7)</w:t>
            </w:r>
            <w:r w:rsidR="001C243B" w:rsidRPr="001C243B">
              <w:rPr>
                <w:rFonts w:eastAsiaTheme="minorEastAsia"/>
                <w:noProof/>
                <w:sz w:val="24"/>
                <w:szCs w:val="24"/>
                <w:lang w:val="ru-KZ" w:eastAsia="ru-KZ"/>
              </w:rPr>
              <w:tab/>
            </w:r>
            <w:r w:rsidR="001C243B" w:rsidRPr="001C243B">
              <w:rPr>
                <w:rStyle w:val="Hyperlink"/>
                <w:rFonts w:ascii="Arial" w:eastAsia="Arial" w:hAnsi="Arial" w:cs="Arial"/>
                <w:b/>
                <w:bCs/>
                <w:noProof/>
              </w:rPr>
              <w:t>Sanctions evasion</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_Toc170314421 \h </w:instrText>
            </w:r>
            <w:r w:rsidR="001C243B" w:rsidRPr="001C243B">
              <w:rPr>
                <w:noProof/>
                <w:webHidden/>
              </w:rPr>
            </w:r>
            <w:r w:rsidR="001C243B" w:rsidRPr="001C243B">
              <w:rPr>
                <w:noProof/>
                <w:webHidden/>
              </w:rPr>
              <w:fldChar w:fldCharType="separate"/>
            </w:r>
            <w:r w:rsidR="001C243B" w:rsidRPr="001C243B">
              <w:rPr>
                <w:noProof/>
                <w:webHidden/>
              </w:rPr>
              <w:t>16</w:t>
            </w:r>
            <w:r w:rsidR="001C243B" w:rsidRPr="001C243B">
              <w:rPr>
                <w:noProof/>
                <w:webHidden/>
              </w:rPr>
              <w:fldChar w:fldCharType="end"/>
            </w:r>
          </w:hyperlink>
        </w:p>
        <w:p w14:paraId="7286EA99" w14:textId="78ABA398" w:rsidR="001C243B" w:rsidRPr="001C243B" w:rsidRDefault="004F3B26">
          <w:pPr>
            <w:pStyle w:val="TOC2"/>
            <w:rPr>
              <w:rFonts w:eastAsiaTheme="minorEastAsia"/>
              <w:noProof/>
              <w:sz w:val="24"/>
              <w:szCs w:val="24"/>
              <w:lang w:val="ru-KZ" w:eastAsia="ru-KZ"/>
            </w:rPr>
          </w:pPr>
          <w:hyperlink w:anchor="_Toc170314422" w:history="1">
            <w:r w:rsidR="001C243B" w:rsidRPr="001C243B">
              <w:rPr>
                <w:rStyle w:val="Hyperlink"/>
                <w:rFonts w:ascii="Arial" w:eastAsia="Arial" w:hAnsi="Arial" w:cs="Arial"/>
                <w:b/>
                <w:bCs/>
                <w:noProof/>
                <w:lang w:val="ru"/>
              </w:rPr>
              <w:t>8)</w:t>
            </w:r>
            <w:r w:rsidR="001C243B" w:rsidRPr="001C243B">
              <w:rPr>
                <w:rFonts w:eastAsiaTheme="minorEastAsia"/>
                <w:noProof/>
                <w:sz w:val="24"/>
                <w:szCs w:val="24"/>
                <w:lang w:val="ru-KZ" w:eastAsia="ru-KZ"/>
              </w:rPr>
              <w:tab/>
            </w:r>
            <w:r w:rsidR="001C243B" w:rsidRPr="001C243B">
              <w:rPr>
                <w:rStyle w:val="Hyperlink"/>
                <w:rFonts w:ascii="Arial" w:eastAsia="Arial" w:hAnsi="Arial" w:cs="Arial"/>
                <w:b/>
                <w:bCs/>
                <w:noProof/>
              </w:rPr>
              <w:t>Gambling</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_Toc170314422 \h </w:instrText>
            </w:r>
            <w:r w:rsidR="001C243B" w:rsidRPr="001C243B">
              <w:rPr>
                <w:noProof/>
                <w:webHidden/>
              </w:rPr>
            </w:r>
            <w:r w:rsidR="001C243B" w:rsidRPr="001C243B">
              <w:rPr>
                <w:noProof/>
                <w:webHidden/>
              </w:rPr>
              <w:fldChar w:fldCharType="separate"/>
            </w:r>
            <w:r w:rsidR="001C243B" w:rsidRPr="001C243B">
              <w:rPr>
                <w:noProof/>
                <w:webHidden/>
              </w:rPr>
              <w:t>16</w:t>
            </w:r>
            <w:r w:rsidR="001C243B" w:rsidRPr="001C243B">
              <w:rPr>
                <w:noProof/>
                <w:webHidden/>
              </w:rPr>
              <w:fldChar w:fldCharType="end"/>
            </w:r>
          </w:hyperlink>
        </w:p>
        <w:p w14:paraId="3CE2E140" w14:textId="1544F1E9" w:rsidR="001C243B" w:rsidRPr="001C243B" w:rsidRDefault="004F3B26">
          <w:pPr>
            <w:pStyle w:val="TOC2"/>
            <w:rPr>
              <w:rFonts w:eastAsiaTheme="minorEastAsia"/>
              <w:noProof/>
              <w:sz w:val="24"/>
              <w:szCs w:val="24"/>
              <w:lang w:val="ru-KZ" w:eastAsia="ru-KZ"/>
            </w:rPr>
          </w:pPr>
          <w:hyperlink w:anchor="_Toc170314423" w:history="1">
            <w:r w:rsidR="001C243B" w:rsidRPr="001C243B">
              <w:rPr>
                <w:rStyle w:val="Hyperlink"/>
                <w:rFonts w:ascii="Arial" w:eastAsia="Arial" w:hAnsi="Arial" w:cs="Arial"/>
                <w:b/>
                <w:bCs/>
                <w:noProof/>
                <w:lang w:val="ru"/>
              </w:rPr>
              <w:t>9)</w:t>
            </w:r>
            <w:r w:rsidR="001C243B" w:rsidRPr="001C243B">
              <w:rPr>
                <w:rFonts w:eastAsiaTheme="minorEastAsia"/>
                <w:noProof/>
                <w:sz w:val="24"/>
                <w:szCs w:val="24"/>
                <w:lang w:val="ru-KZ" w:eastAsia="ru-KZ"/>
              </w:rPr>
              <w:tab/>
            </w:r>
            <w:r w:rsidR="001C243B" w:rsidRPr="001C243B">
              <w:rPr>
                <w:rStyle w:val="Hyperlink"/>
                <w:rFonts w:ascii="Arial" w:eastAsia="Arial" w:hAnsi="Arial" w:cs="Arial"/>
                <w:b/>
                <w:bCs/>
                <w:noProof/>
              </w:rPr>
              <w:t>Piracy</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_Toc170314423 \h </w:instrText>
            </w:r>
            <w:r w:rsidR="001C243B" w:rsidRPr="001C243B">
              <w:rPr>
                <w:noProof/>
                <w:webHidden/>
              </w:rPr>
            </w:r>
            <w:r w:rsidR="001C243B" w:rsidRPr="001C243B">
              <w:rPr>
                <w:noProof/>
                <w:webHidden/>
              </w:rPr>
              <w:fldChar w:fldCharType="separate"/>
            </w:r>
            <w:r w:rsidR="001C243B" w:rsidRPr="001C243B">
              <w:rPr>
                <w:noProof/>
                <w:webHidden/>
              </w:rPr>
              <w:t>17</w:t>
            </w:r>
            <w:r w:rsidR="001C243B" w:rsidRPr="001C243B">
              <w:rPr>
                <w:noProof/>
                <w:webHidden/>
              </w:rPr>
              <w:fldChar w:fldCharType="end"/>
            </w:r>
          </w:hyperlink>
        </w:p>
        <w:p w14:paraId="66E81CDA" w14:textId="7155AE22" w:rsidR="001C243B" w:rsidRPr="001C243B" w:rsidRDefault="004F3B26">
          <w:pPr>
            <w:pStyle w:val="TOC2"/>
            <w:rPr>
              <w:rFonts w:eastAsiaTheme="minorEastAsia"/>
              <w:noProof/>
              <w:sz w:val="24"/>
              <w:szCs w:val="24"/>
              <w:lang w:val="ru-KZ" w:eastAsia="ru-KZ"/>
            </w:rPr>
          </w:pPr>
          <w:hyperlink w:anchor="_Toc170314424" w:history="1">
            <w:r w:rsidR="001C243B" w:rsidRPr="001C243B">
              <w:rPr>
                <w:rStyle w:val="Hyperlink"/>
                <w:rFonts w:ascii="Arial" w:hAnsi="Arial" w:cs="Arial"/>
                <w:b/>
                <w:bCs/>
                <w:noProof/>
                <w:lang w:val="ru-RU"/>
              </w:rPr>
              <w:t>10)</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Financing of terrorism</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_Toc170314424 \h </w:instrText>
            </w:r>
            <w:r w:rsidR="001C243B" w:rsidRPr="001C243B">
              <w:rPr>
                <w:noProof/>
                <w:webHidden/>
              </w:rPr>
            </w:r>
            <w:r w:rsidR="001C243B" w:rsidRPr="001C243B">
              <w:rPr>
                <w:noProof/>
                <w:webHidden/>
              </w:rPr>
              <w:fldChar w:fldCharType="separate"/>
            </w:r>
            <w:r w:rsidR="001C243B" w:rsidRPr="001C243B">
              <w:rPr>
                <w:noProof/>
                <w:webHidden/>
              </w:rPr>
              <w:t>17</w:t>
            </w:r>
            <w:r w:rsidR="001C243B" w:rsidRPr="001C243B">
              <w:rPr>
                <w:noProof/>
                <w:webHidden/>
              </w:rPr>
              <w:fldChar w:fldCharType="end"/>
            </w:r>
          </w:hyperlink>
        </w:p>
        <w:p w14:paraId="71A7D7C5" w14:textId="6B36C1DB" w:rsidR="001C243B" w:rsidRPr="001C243B" w:rsidRDefault="004F3B26">
          <w:pPr>
            <w:pStyle w:val="TOC1"/>
            <w:rPr>
              <w:rFonts w:eastAsiaTheme="minorEastAsia"/>
              <w:noProof/>
              <w:sz w:val="24"/>
              <w:szCs w:val="24"/>
              <w:lang w:val="ru-KZ" w:eastAsia="ru-KZ"/>
            </w:rPr>
          </w:pPr>
          <w:hyperlink w:anchor="_Toc170314425" w:history="1">
            <w:r w:rsidR="001C243B" w:rsidRPr="001C243B">
              <w:rPr>
                <w:rStyle w:val="Hyperlink"/>
                <w:rFonts w:ascii="Arial" w:hAnsi="Arial" w:cs="Arial"/>
                <w:b/>
                <w:bCs/>
                <w:noProof/>
                <w:lang w:val="ru-RU"/>
              </w:rPr>
              <w:t>3.</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CHARACTERISTICS OF VULNERABILITIES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_Toc170314425 \h </w:instrText>
            </w:r>
            <w:r w:rsidR="001C243B" w:rsidRPr="001C243B">
              <w:rPr>
                <w:noProof/>
                <w:webHidden/>
              </w:rPr>
            </w:r>
            <w:r w:rsidR="001C243B" w:rsidRPr="001C243B">
              <w:rPr>
                <w:noProof/>
                <w:webHidden/>
              </w:rPr>
              <w:fldChar w:fldCharType="separate"/>
            </w:r>
            <w:r w:rsidR="001C243B" w:rsidRPr="001C243B">
              <w:rPr>
                <w:noProof/>
                <w:webHidden/>
              </w:rPr>
              <w:t>19</w:t>
            </w:r>
            <w:r w:rsidR="001C243B" w:rsidRPr="001C243B">
              <w:rPr>
                <w:noProof/>
                <w:webHidden/>
              </w:rPr>
              <w:fldChar w:fldCharType="end"/>
            </w:r>
          </w:hyperlink>
        </w:p>
        <w:p w14:paraId="4F0D9514" w14:textId="1C8E8D55" w:rsidR="001C243B" w:rsidRPr="001C243B" w:rsidRDefault="004F3B26">
          <w:pPr>
            <w:pStyle w:val="TOC2"/>
            <w:rPr>
              <w:rFonts w:eastAsiaTheme="minorEastAsia"/>
              <w:noProof/>
              <w:sz w:val="24"/>
              <w:szCs w:val="24"/>
              <w:lang w:val="ru-KZ" w:eastAsia="ru-KZ"/>
            </w:rPr>
          </w:pPr>
          <w:hyperlink w:anchor="_Toc170314426" w:history="1">
            <w:r w:rsidR="001C243B" w:rsidRPr="001C243B">
              <w:rPr>
                <w:rStyle w:val="Hyperlink"/>
                <w:rFonts w:ascii="Arial" w:hAnsi="Arial" w:cs="Arial"/>
                <w:b/>
                <w:bCs/>
                <w:noProof/>
              </w:rPr>
              <w:t>1)</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Anonymity</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_Toc170314426 \h </w:instrText>
            </w:r>
            <w:r w:rsidR="001C243B" w:rsidRPr="001C243B">
              <w:rPr>
                <w:noProof/>
                <w:webHidden/>
              </w:rPr>
            </w:r>
            <w:r w:rsidR="001C243B" w:rsidRPr="001C243B">
              <w:rPr>
                <w:noProof/>
                <w:webHidden/>
              </w:rPr>
              <w:fldChar w:fldCharType="separate"/>
            </w:r>
            <w:r w:rsidR="001C243B" w:rsidRPr="001C243B">
              <w:rPr>
                <w:noProof/>
                <w:webHidden/>
              </w:rPr>
              <w:t>19</w:t>
            </w:r>
            <w:r w:rsidR="001C243B" w:rsidRPr="001C243B">
              <w:rPr>
                <w:noProof/>
                <w:webHidden/>
              </w:rPr>
              <w:fldChar w:fldCharType="end"/>
            </w:r>
          </w:hyperlink>
        </w:p>
        <w:p w14:paraId="571D0B7D" w14:textId="4E28FC5E" w:rsidR="001C243B" w:rsidRPr="001C243B" w:rsidRDefault="004F3B26">
          <w:pPr>
            <w:pStyle w:val="TOC2"/>
            <w:rPr>
              <w:rFonts w:eastAsiaTheme="minorEastAsia"/>
              <w:noProof/>
              <w:sz w:val="24"/>
              <w:szCs w:val="24"/>
              <w:lang w:val="ru-KZ" w:eastAsia="ru-KZ"/>
            </w:rPr>
          </w:pPr>
          <w:hyperlink w:anchor="_Toc170314427" w:history="1">
            <w:r w:rsidR="001C243B" w:rsidRPr="001C243B">
              <w:rPr>
                <w:rStyle w:val="Hyperlink"/>
                <w:rFonts w:ascii="Arial" w:hAnsi="Arial" w:cs="Arial"/>
                <w:b/>
                <w:bCs/>
                <w:noProof/>
              </w:rPr>
              <w:t>2)</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Usability</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_Toc170314427 \h </w:instrText>
            </w:r>
            <w:r w:rsidR="001C243B" w:rsidRPr="001C243B">
              <w:rPr>
                <w:noProof/>
                <w:webHidden/>
              </w:rPr>
            </w:r>
            <w:r w:rsidR="001C243B" w:rsidRPr="001C243B">
              <w:rPr>
                <w:noProof/>
                <w:webHidden/>
              </w:rPr>
              <w:fldChar w:fldCharType="separate"/>
            </w:r>
            <w:r w:rsidR="001C243B" w:rsidRPr="001C243B">
              <w:rPr>
                <w:noProof/>
                <w:webHidden/>
              </w:rPr>
              <w:t>19</w:t>
            </w:r>
            <w:r w:rsidR="001C243B" w:rsidRPr="001C243B">
              <w:rPr>
                <w:noProof/>
                <w:webHidden/>
              </w:rPr>
              <w:fldChar w:fldCharType="end"/>
            </w:r>
          </w:hyperlink>
        </w:p>
        <w:p w14:paraId="104E917B" w14:textId="2956A2A4" w:rsidR="001C243B" w:rsidRPr="001C243B" w:rsidRDefault="004F3B26">
          <w:pPr>
            <w:pStyle w:val="TOC2"/>
            <w:rPr>
              <w:rFonts w:eastAsiaTheme="minorEastAsia"/>
              <w:noProof/>
              <w:sz w:val="24"/>
              <w:szCs w:val="24"/>
              <w:lang w:val="ru-KZ" w:eastAsia="ru-KZ"/>
            </w:rPr>
          </w:pPr>
          <w:hyperlink w:anchor="_Toc170314428" w:history="1">
            <w:r w:rsidR="001C243B" w:rsidRPr="001C243B">
              <w:rPr>
                <w:rStyle w:val="Hyperlink"/>
                <w:rFonts w:ascii="Arial" w:hAnsi="Arial" w:cs="Arial"/>
                <w:b/>
                <w:bCs/>
                <w:noProof/>
                <w:lang w:val="ru-RU"/>
              </w:rPr>
              <w:t>3)</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Immutability of transactions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_Toc170314428 \h </w:instrText>
            </w:r>
            <w:r w:rsidR="001C243B" w:rsidRPr="001C243B">
              <w:rPr>
                <w:noProof/>
                <w:webHidden/>
              </w:rPr>
            </w:r>
            <w:r w:rsidR="001C243B" w:rsidRPr="001C243B">
              <w:rPr>
                <w:noProof/>
                <w:webHidden/>
              </w:rPr>
              <w:fldChar w:fldCharType="separate"/>
            </w:r>
            <w:r w:rsidR="001C243B" w:rsidRPr="001C243B">
              <w:rPr>
                <w:noProof/>
                <w:webHidden/>
              </w:rPr>
              <w:t>20</w:t>
            </w:r>
            <w:r w:rsidR="001C243B" w:rsidRPr="001C243B">
              <w:rPr>
                <w:noProof/>
                <w:webHidden/>
              </w:rPr>
              <w:fldChar w:fldCharType="end"/>
            </w:r>
          </w:hyperlink>
        </w:p>
        <w:p w14:paraId="312FD1B5" w14:textId="2AADE989" w:rsidR="001C243B" w:rsidRPr="001C243B" w:rsidRDefault="004F3B26">
          <w:pPr>
            <w:pStyle w:val="TOC2"/>
            <w:rPr>
              <w:rFonts w:eastAsiaTheme="minorEastAsia"/>
              <w:noProof/>
              <w:sz w:val="24"/>
              <w:szCs w:val="24"/>
              <w:lang w:val="ru-KZ" w:eastAsia="ru-KZ"/>
            </w:rPr>
          </w:pPr>
          <w:hyperlink w:anchor="_Toc170314429" w:history="1">
            <w:r w:rsidR="001C243B" w:rsidRPr="001C243B">
              <w:rPr>
                <w:rStyle w:val="Hyperlink"/>
                <w:rFonts w:ascii="Arial" w:hAnsi="Arial" w:cs="Arial"/>
                <w:b/>
                <w:bCs/>
                <w:noProof/>
                <w:lang w:val="ru-RU"/>
              </w:rPr>
              <w:t>4)</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Security</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_Toc170314429 \h </w:instrText>
            </w:r>
            <w:r w:rsidR="001C243B" w:rsidRPr="001C243B">
              <w:rPr>
                <w:noProof/>
                <w:webHidden/>
              </w:rPr>
            </w:r>
            <w:r w:rsidR="001C243B" w:rsidRPr="001C243B">
              <w:rPr>
                <w:noProof/>
                <w:webHidden/>
              </w:rPr>
              <w:fldChar w:fldCharType="separate"/>
            </w:r>
            <w:r w:rsidR="001C243B" w:rsidRPr="001C243B">
              <w:rPr>
                <w:noProof/>
                <w:webHidden/>
              </w:rPr>
              <w:t>20</w:t>
            </w:r>
            <w:r w:rsidR="001C243B" w:rsidRPr="001C243B">
              <w:rPr>
                <w:noProof/>
                <w:webHidden/>
              </w:rPr>
              <w:fldChar w:fldCharType="end"/>
            </w:r>
          </w:hyperlink>
        </w:p>
        <w:p w14:paraId="128CE52C" w14:textId="7C6C3086" w:rsidR="001C243B" w:rsidRPr="001C243B" w:rsidRDefault="004F3B26">
          <w:pPr>
            <w:pStyle w:val="TOC2"/>
            <w:rPr>
              <w:rFonts w:eastAsiaTheme="minorEastAsia"/>
              <w:noProof/>
              <w:sz w:val="24"/>
              <w:szCs w:val="24"/>
              <w:lang w:val="ru-KZ" w:eastAsia="ru-KZ"/>
            </w:rPr>
          </w:pPr>
          <w:hyperlink w:anchor="_Toc170314430" w:history="1">
            <w:r w:rsidR="001C243B" w:rsidRPr="001C243B">
              <w:rPr>
                <w:rStyle w:val="Hyperlink"/>
                <w:rFonts w:ascii="Arial" w:hAnsi="Arial" w:cs="Arial"/>
                <w:b/>
                <w:bCs/>
                <w:noProof/>
              </w:rPr>
              <w:t>5)</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Weak differentiation of global platforms from DASPs registered in the AIFC.</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_Toc170314430 \h </w:instrText>
            </w:r>
            <w:r w:rsidR="001C243B" w:rsidRPr="001C243B">
              <w:rPr>
                <w:noProof/>
                <w:webHidden/>
              </w:rPr>
            </w:r>
            <w:r w:rsidR="001C243B" w:rsidRPr="001C243B">
              <w:rPr>
                <w:noProof/>
                <w:webHidden/>
              </w:rPr>
              <w:fldChar w:fldCharType="separate"/>
            </w:r>
            <w:r w:rsidR="001C243B" w:rsidRPr="001C243B">
              <w:rPr>
                <w:noProof/>
                <w:webHidden/>
              </w:rPr>
              <w:t>21</w:t>
            </w:r>
            <w:r w:rsidR="001C243B" w:rsidRPr="001C243B">
              <w:rPr>
                <w:noProof/>
                <w:webHidden/>
              </w:rPr>
              <w:fldChar w:fldCharType="end"/>
            </w:r>
          </w:hyperlink>
        </w:p>
        <w:p w14:paraId="42408959" w14:textId="00369AA4" w:rsidR="001C243B" w:rsidRPr="001C243B" w:rsidRDefault="004F3B26">
          <w:pPr>
            <w:pStyle w:val="TOC1"/>
            <w:rPr>
              <w:rFonts w:eastAsiaTheme="minorEastAsia"/>
              <w:noProof/>
              <w:sz w:val="24"/>
              <w:szCs w:val="24"/>
              <w:lang w:val="ru-KZ" w:eastAsia="ru-KZ"/>
            </w:rPr>
          </w:pPr>
          <w:hyperlink w:anchor="_Toc170314431" w:history="1">
            <w:r w:rsidR="001C243B" w:rsidRPr="001C243B">
              <w:rPr>
                <w:rStyle w:val="Hyperlink"/>
                <w:rFonts w:ascii="Arial" w:hAnsi="Arial" w:cs="Arial"/>
                <w:b/>
                <w:bCs/>
                <w:noProof/>
              </w:rPr>
              <w:t>4.</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MEASURES TAKEN BY THE AIFC TO MITIGATE THE LEVEL OF THREATS AND VULNERABILITIES.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_Toc170314431 \h </w:instrText>
            </w:r>
            <w:r w:rsidR="001C243B" w:rsidRPr="001C243B">
              <w:rPr>
                <w:noProof/>
                <w:webHidden/>
              </w:rPr>
            </w:r>
            <w:r w:rsidR="001C243B" w:rsidRPr="001C243B">
              <w:rPr>
                <w:noProof/>
                <w:webHidden/>
              </w:rPr>
              <w:fldChar w:fldCharType="separate"/>
            </w:r>
            <w:r w:rsidR="001C243B" w:rsidRPr="001C243B">
              <w:rPr>
                <w:noProof/>
                <w:webHidden/>
              </w:rPr>
              <w:t>22</w:t>
            </w:r>
            <w:r w:rsidR="001C243B" w:rsidRPr="001C243B">
              <w:rPr>
                <w:noProof/>
                <w:webHidden/>
              </w:rPr>
              <w:fldChar w:fldCharType="end"/>
            </w:r>
          </w:hyperlink>
        </w:p>
        <w:p w14:paraId="40E1F64C" w14:textId="18094FDA" w:rsidR="001C243B" w:rsidRPr="001C243B" w:rsidRDefault="004F3B26">
          <w:pPr>
            <w:pStyle w:val="TOC2"/>
            <w:rPr>
              <w:rFonts w:eastAsiaTheme="minorEastAsia"/>
              <w:noProof/>
              <w:sz w:val="24"/>
              <w:szCs w:val="24"/>
              <w:lang w:val="ru-KZ" w:eastAsia="ru-KZ"/>
            </w:rPr>
          </w:pPr>
          <w:hyperlink w:anchor="_Toc170314432" w:history="1">
            <w:r w:rsidR="001C243B" w:rsidRPr="001C243B">
              <w:rPr>
                <w:rStyle w:val="Hyperlink"/>
                <w:rFonts w:ascii="Arial" w:hAnsi="Arial" w:cs="Arial"/>
                <w:b/>
                <w:bCs/>
                <w:noProof/>
                <w:lang w:val="ru-RU"/>
              </w:rPr>
              <w:t>1)</w:t>
            </w:r>
            <w:r w:rsidR="001C243B" w:rsidRPr="001C243B">
              <w:rPr>
                <w:rFonts w:eastAsiaTheme="minorEastAsia"/>
                <w:noProof/>
                <w:sz w:val="24"/>
                <w:szCs w:val="24"/>
                <w:lang w:val="ru-KZ" w:eastAsia="ru-KZ"/>
              </w:rPr>
              <w:tab/>
            </w:r>
            <w:r w:rsidR="001C243B" w:rsidRPr="001C243B">
              <w:rPr>
                <w:rStyle w:val="Hyperlink"/>
                <w:rFonts w:ascii="Arial" w:hAnsi="Arial"/>
                <w:b/>
                <w:noProof/>
              </w:rPr>
              <w:t>Regulation</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_Toc170314432 \h </w:instrText>
            </w:r>
            <w:r w:rsidR="001C243B" w:rsidRPr="001C243B">
              <w:rPr>
                <w:noProof/>
                <w:webHidden/>
              </w:rPr>
            </w:r>
            <w:r w:rsidR="001C243B" w:rsidRPr="001C243B">
              <w:rPr>
                <w:noProof/>
                <w:webHidden/>
              </w:rPr>
              <w:fldChar w:fldCharType="separate"/>
            </w:r>
            <w:r w:rsidR="001C243B" w:rsidRPr="001C243B">
              <w:rPr>
                <w:noProof/>
                <w:webHidden/>
              </w:rPr>
              <w:t>22</w:t>
            </w:r>
            <w:r w:rsidR="001C243B" w:rsidRPr="001C243B">
              <w:rPr>
                <w:noProof/>
                <w:webHidden/>
              </w:rPr>
              <w:fldChar w:fldCharType="end"/>
            </w:r>
          </w:hyperlink>
        </w:p>
        <w:p w14:paraId="37B288B8" w14:textId="689CAFD9" w:rsidR="001C243B" w:rsidRPr="001C243B" w:rsidRDefault="004F3B26">
          <w:pPr>
            <w:pStyle w:val="TOC2"/>
            <w:rPr>
              <w:rFonts w:eastAsiaTheme="minorEastAsia"/>
              <w:noProof/>
              <w:sz w:val="24"/>
              <w:szCs w:val="24"/>
              <w:lang w:val="ru-KZ" w:eastAsia="ru-KZ"/>
            </w:rPr>
          </w:pPr>
          <w:hyperlink w:anchor="_Toc170314433" w:history="1">
            <w:r w:rsidR="001C243B" w:rsidRPr="001C243B">
              <w:rPr>
                <w:rStyle w:val="Hyperlink"/>
                <w:rFonts w:ascii="Arial" w:hAnsi="Arial" w:cs="Arial"/>
                <w:b/>
                <w:bCs/>
                <w:noProof/>
                <w:lang w:val="ru-RU"/>
              </w:rPr>
              <w:t>2)</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Registration and Licensing Regulations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_Toc170314433 \h </w:instrText>
            </w:r>
            <w:r w:rsidR="001C243B" w:rsidRPr="001C243B">
              <w:rPr>
                <w:noProof/>
                <w:webHidden/>
              </w:rPr>
            </w:r>
            <w:r w:rsidR="001C243B" w:rsidRPr="001C243B">
              <w:rPr>
                <w:noProof/>
                <w:webHidden/>
              </w:rPr>
              <w:fldChar w:fldCharType="separate"/>
            </w:r>
            <w:r w:rsidR="001C243B" w:rsidRPr="001C243B">
              <w:rPr>
                <w:noProof/>
                <w:webHidden/>
              </w:rPr>
              <w:t>23</w:t>
            </w:r>
            <w:r w:rsidR="001C243B" w:rsidRPr="001C243B">
              <w:rPr>
                <w:noProof/>
                <w:webHidden/>
              </w:rPr>
              <w:fldChar w:fldCharType="end"/>
            </w:r>
          </w:hyperlink>
        </w:p>
        <w:p w14:paraId="5733BCC8" w14:textId="7D2CC67F" w:rsidR="001C243B" w:rsidRPr="001C243B" w:rsidRDefault="004F3B26">
          <w:pPr>
            <w:pStyle w:val="TOC2"/>
            <w:rPr>
              <w:rFonts w:eastAsiaTheme="minorEastAsia"/>
              <w:noProof/>
              <w:sz w:val="24"/>
              <w:szCs w:val="24"/>
              <w:lang w:val="ru-KZ" w:eastAsia="ru-KZ"/>
            </w:rPr>
          </w:pPr>
          <w:hyperlink w:anchor="_Toc170314434" w:history="1">
            <w:r w:rsidR="001C243B" w:rsidRPr="001C243B">
              <w:rPr>
                <w:rStyle w:val="Hyperlink"/>
                <w:rFonts w:ascii="Arial" w:hAnsi="Arial" w:cs="Arial"/>
                <w:b/>
                <w:bCs/>
                <w:noProof/>
              </w:rPr>
              <w:t>3)</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AML/CFT regime (AFSA procedures)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_Toc170314434 \h </w:instrText>
            </w:r>
            <w:r w:rsidR="001C243B" w:rsidRPr="001C243B">
              <w:rPr>
                <w:noProof/>
                <w:webHidden/>
              </w:rPr>
            </w:r>
            <w:r w:rsidR="001C243B" w:rsidRPr="001C243B">
              <w:rPr>
                <w:noProof/>
                <w:webHidden/>
              </w:rPr>
              <w:fldChar w:fldCharType="separate"/>
            </w:r>
            <w:r w:rsidR="001C243B" w:rsidRPr="001C243B">
              <w:rPr>
                <w:noProof/>
                <w:webHidden/>
              </w:rPr>
              <w:t>24</w:t>
            </w:r>
            <w:r w:rsidR="001C243B" w:rsidRPr="001C243B">
              <w:rPr>
                <w:noProof/>
                <w:webHidden/>
              </w:rPr>
              <w:fldChar w:fldCharType="end"/>
            </w:r>
          </w:hyperlink>
        </w:p>
        <w:p w14:paraId="76DE187F" w14:textId="084568F1" w:rsidR="001C243B" w:rsidRPr="001C243B" w:rsidRDefault="004F3B26">
          <w:pPr>
            <w:pStyle w:val="TOC2"/>
            <w:rPr>
              <w:rFonts w:eastAsiaTheme="minorEastAsia"/>
              <w:noProof/>
              <w:sz w:val="24"/>
              <w:szCs w:val="24"/>
              <w:lang w:val="ru-KZ" w:eastAsia="ru-KZ"/>
            </w:rPr>
          </w:pPr>
          <w:hyperlink w:anchor="_Toc170314435" w:history="1">
            <w:r w:rsidR="001C243B" w:rsidRPr="001C243B">
              <w:rPr>
                <w:rStyle w:val="Hyperlink"/>
                <w:rFonts w:ascii="Arial" w:hAnsi="Arial" w:cs="Arial"/>
                <w:b/>
                <w:bCs/>
                <w:noProof/>
              </w:rPr>
              <w:t>4)</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AIFC measures to reduce vulnerability due to the anonymity of DAs and crypto transactions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_Toc170314435 \h </w:instrText>
            </w:r>
            <w:r w:rsidR="001C243B" w:rsidRPr="001C243B">
              <w:rPr>
                <w:noProof/>
                <w:webHidden/>
              </w:rPr>
            </w:r>
            <w:r w:rsidR="001C243B" w:rsidRPr="001C243B">
              <w:rPr>
                <w:noProof/>
                <w:webHidden/>
              </w:rPr>
              <w:fldChar w:fldCharType="separate"/>
            </w:r>
            <w:r w:rsidR="001C243B" w:rsidRPr="001C243B">
              <w:rPr>
                <w:noProof/>
                <w:webHidden/>
              </w:rPr>
              <w:t>28</w:t>
            </w:r>
            <w:r w:rsidR="001C243B" w:rsidRPr="001C243B">
              <w:rPr>
                <w:noProof/>
                <w:webHidden/>
              </w:rPr>
              <w:fldChar w:fldCharType="end"/>
            </w:r>
          </w:hyperlink>
        </w:p>
        <w:p w14:paraId="415ECA28" w14:textId="59762B27" w:rsidR="001C243B" w:rsidRPr="001C243B" w:rsidRDefault="004F3B26">
          <w:pPr>
            <w:pStyle w:val="TOC2"/>
            <w:rPr>
              <w:rFonts w:eastAsiaTheme="minorEastAsia"/>
              <w:noProof/>
              <w:sz w:val="24"/>
              <w:szCs w:val="24"/>
              <w:lang w:val="ru-KZ" w:eastAsia="ru-KZ"/>
            </w:rPr>
          </w:pPr>
          <w:hyperlink w:anchor="_Toc170314436" w:history="1">
            <w:r w:rsidR="001C243B" w:rsidRPr="001C243B">
              <w:rPr>
                <w:rStyle w:val="Hyperlink"/>
                <w:rFonts w:ascii="Arial" w:hAnsi="Arial" w:cs="Arial"/>
                <w:b/>
                <w:bCs/>
                <w:noProof/>
              </w:rPr>
              <w:t>5)</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AIFC measures to reduce security vulnerabilities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_Toc170314436 \h </w:instrText>
            </w:r>
            <w:r w:rsidR="001C243B" w:rsidRPr="001C243B">
              <w:rPr>
                <w:noProof/>
                <w:webHidden/>
              </w:rPr>
            </w:r>
            <w:r w:rsidR="001C243B" w:rsidRPr="001C243B">
              <w:rPr>
                <w:noProof/>
                <w:webHidden/>
              </w:rPr>
              <w:fldChar w:fldCharType="separate"/>
            </w:r>
            <w:r w:rsidR="001C243B" w:rsidRPr="001C243B">
              <w:rPr>
                <w:noProof/>
                <w:webHidden/>
              </w:rPr>
              <w:t>29</w:t>
            </w:r>
            <w:r w:rsidR="001C243B" w:rsidRPr="001C243B">
              <w:rPr>
                <w:noProof/>
                <w:webHidden/>
              </w:rPr>
              <w:fldChar w:fldCharType="end"/>
            </w:r>
          </w:hyperlink>
        </w:p>
        <w:p w14:paraId="6C7E2A7C" w14:textId="22750450" w:rsidR="001C243B" w:rsidRPr="001C243B" w:rsidRDefault="004F3B26">
          <w:pPr>
            <w:pStyle w:val="TOC1"/>
            <w:rPr>
              <w:rFonts w:eastAsiaTheme="minorEastAsia"/>
              <w:noProof/>
              <w:sz w:val="24"/>
              <w:szCs w:val="24"/>
              <w:lang w:val="ru-KZ" w:eastAsia="ru-KZ"/>
            </w:rPr>
          </w:pPr>
          <w:hyperlink w:anchor="_Toc170314437" w:history="1">
            <w:r w:rsidR="001C243B" w:rsidRPr="001C243B">
              <w:rPr>
                <w:rStyle w:val="Hyperlink"/>
                <w:rFonts w:ascii="Arial" w:hAnsi="Arial" w:cs="Arial"/>
                <w:b/>
                <w:bCs/>
                <w:noProof/>
              </w:rPr>
              <w:t>5.</w:t>
            </w:r>
            <w:r w:rsidR="001C243B" w:rsidRPr="001C243B">
              <w:rPr>
                <w:rFonts w:eastAsiaTheme="minorEastAsia"/>
                <w:noProof/>
                <w:sz w:val="24"/>
                <w:szCs w:val="24"/>
                <w:lang w:val="ru-KZ" w:eastAsia="ru-KZ"/>
              </w:rPr>
              <w:tab/>
            </w:r>
            <w:r w:rsidR="001C243B" w:rsidRPr="001C243B">
              <w:rPr>
                <w:rStyle w:val="Hyperlink"/>
                <w:rFonts w:ascii="Arial" w:hAnsi="Arial" w:cs="Arial"/>
                <w:b/>
                <w:bCs/>
                <w:noProof/>
              </w:rPr>
              <w:t>CONTINUOUS MONITORING OF ML/TF RISKS</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_Toc170314437 \h </w:instrText>
            </w:r>
            <w:r w:rsidR="001C243B" w:rsidRPr="001C243B">
              <w:rPr>
                <w:noProof/>
                <w:webHidden/>
              </w:rPr>
            </w:r>
            <w:r w:rsidR="001C243B" w:rsidRPr="001C243B">
              <w:rPr>
                <w:noProof/>
                <w:webHidden/>
              </w:rPr>
              <w:fldChar w:fldCharType="separate"/>
            </w:r>
            <w:r w:rsidR="001C243B" w:rsidRPr="001C243B">
              <w:rPr>
                <w:noProof/>
                <w:webHidden/>
              </w:rPr>
              <w:t>31</w:t>
            </w:r>
            <w:r w:rsidR="001C243B" w:rsidRPr="001C243B">
              <w:rPr>
                <w:noProof/>
                <w:webHidden/>
              </w:rPr>
              <w:fldChar w:fldCharType="end"/>
            </w:r>
          </w:hyperlink>
        </w:p>
        <w:p w14:paraId="3F30BB9A" w14:textId="3C2228A2" w:rsidR="001C243B" w:rsidRPr="001C243B" w:rsidRDefault="004F3B26">
          <w:pPr>
            <w:pStyle w:val="TOC1"/>
            <w:rPr>
              <w:rFonts w:eastAsiaTheme="minorEastAsia"/>
              <w:noProof/>
              <w:sz w:val="24"/>
              <w:szCs w:val="24"/>
              <w:lang w:val="ru-KZ" w:eastAsia="ru-KZ"/>
            </w:rPr>
          </w:pPr>
          <w:hyperlink w:anchor="_Toc170314438" w:history="1">
            <w:r w:rsidR="001C243B" w:rsidRPr="001C243B">
              <w:rPr>
                <w:rStyle w:val="Hyperlink"/>
                <w:rFonts w:ascii="Arial" w:hAnsi="Arial" w:cs="Arial"/>
                <w:b/>
                <w:bCs/>
                <w:noProof/>
              </w:rPr>
              <w:t>6. FINAL ASSESSMENT OF THREATS, VULNERABILITIES AND RISK LEVEL</w:t>
            </w:r>
            <w:r w:rsidR="001C243B" w:rsidRPr="001C243B">
              <w:rPr>
                <w:noProof/>
                <w:webHidden/>
              </w:rPr>
              <w:tab/>
            </w:r>
            <w:r w:rsidR="001C243B" w:rsidRPr="001C243B">
              <w:rPr>
                <w:noProof/>
                <w:webHidden/>
              </w:rPr>
              <w:fldChar w:fldCharType="begin"/>
            </w:r>
            <w:r w:rsidR="001C243B" w:rsidRPr="001C243B">
              <w:rPr>
                <w:noProof/>
                <w:webHidden/>
              </w:rPr>
              <w:instrText xml:space="preserve"> PAGEREF _Toc170314438 \h </w:instrText>
            </w:r>
            <w:r w:rsidR="001C243B" w:rsidRPr="001C243B">
              <w:rPr>
                <w:noProof/>
                <w:webHidden/>
              </w:rPr>
            </w:r>
            <w:r w:rsidR="001C243B" w:rsidRPr="001C243B">
              <w:rPr>
                <w:noProof/>
                <w:webHidden/>
              </w:rPr>
              <w:fldChar w:fldCharType="separate"/>
            </w:r>
            <w:r w:rsidR="001C243B" w:rsidRPr="001C243B">
              <w:rPr>
                <w:noProof/>
                <w:webHidden/>
              </w:rPr>
              <w:t>39</w:t>
            </w:r>
            <w:r w:rsidR="001C243B" w:rsidRPr="001C243B">
              <w:rPr>
                <w:noProof/>
                <w:webHidden/>
              </w:rPr>
              <w:fldChar w:fldCharType="end"/>
            </w:r>
          </w:hyperlink>
        </w:p>
        <w:p w14:paraId="7CA22C4D" w14:textId="4B99D3CB" w:rsidR="003B475F" w:rsidRDefault="003B475F">
          <w:r w:rsidRPr="001C243B">
            <w:rPr>
              <w:b/>
              <w:bCs/>
              <w:noProof/>
            </w:rPr>
            <w:fldChar w:fldCharType="end"/>
          </w:r>
        </w:p>
      </w:sdtContent>
    </w:sdt>
    <w:p w14:paraId="359C2F8B" w14:textId="76986D9B" w:rsidR="00243E2F" w:rsidRDefault="00243E2F" w:rsidP="003B475F">
      <w:pPr>
        <w:spacing w:line="360" w:lineRule="auto"/>
        <w:jc w:val="both"/>
        <w:rPr>
          <w:rFonts w:ascii="Arial" w:hAnsi="Arial" w:cs="Arial"/>
          <w:b/>
          <w:bCs/>
          <w:sz w:val="28"/>
          <w:szCs w:val="28"/>
          <w:lang w:val="ru-RU"/>
        </w:rPr>
      </w:pPr>
      <w:r>
        <w:rPr>
          <w:rFonts w:ascii="Arial" w:hAnsi="Arial" w:cs="Arial"/>
          <w:b/>
          <w:bCs/>
          <w:sz w:val="28"/>
          <w:szCs w:val="28"/>
          <w:lang w:val="ru-RU"/>
        </w:rPr>
        <w:br w:type="page"/>
      </w:r>
    </w:p>
    <w:p w14:paraId="5BEEB51C" w14:textId="0A7A2D4F" w:rsidR="00AC6081" w:rsidRPr="00ED368C" w:rsidRDefault="00DF4BA4" w:rsidP="003B475F">
      <w:pPr>
        <w:pStyle w:val="ListParagraph"/>
        <w:numPr>
          <w:ilvl w:val="0"/>
          <w:numId w:val="4"/>
        </w:numPr>
        <w:spacing w:line="360" w:lineRule="auto"/>
        <w:ind w:left="0" w:firstLine="0"/>
        <w:contextualSpacing w:val="0"/>
        <w:jc w:val="both"/>
        <w:outlineLvl w:val="0"/>
        <w:rPr>
          <w:rFonts w:ascii="Arial" w:hAnsi="Arial" w:cs="Arial"/>
          <w:b/>
          <w:bCs/>
          <w:sz w:val="28"/>
          <w:szCs w:val="28"/>
        </w:rPr>
      </w:pPr>
      <w:bookmarkStart w:id="0" w:name="_Toc170314413"/>
      <w:r w:rsidRPr="163D0282">
        <w:rPr>
          <w:rFonts w:ascii="Arial" w:hAnsi="Arial" w:cs="Arial"/>
          <w:b/>
          <w:bCs/>
          <w:sz w:val="28"/>
          <w:szCs w:val="28"/>
        </w:rPr>
        <w:lastRenderedPageBreak/>
        <w:t>GENERAL CHARACTERISTICS OF THE SECTOR</w:t>
      </w:r>
      <w:bookmarkEnd w:id="0"/>
    </w:p>
    <w:p w14:paraId="152B9F54" w14:textId="56588AC7" w:rsidR="00933B18" w:rsidRPr="007B3F28" w:rsidRDefault="00933B18" w:rsidP="003B475F">
      <w:pPr>
        <w:spacing w:line="360" w:lineRule="auto"/>
        <w:jc w:val="both"/>
        <w:rPr>
          <w:rFonts w:ascii="Arial" w:hAnsi="Arial" w:cs="Arial"/>
          <w:color w:val="000000" w:themeColor="text1"/>
          <w:sz w:val="28"/>
          <w:szCs w:val="28"/>
        </w:rPr>
      </w:pPr>
      <w:r w:rsidRPr="00C616FA">
        <w:rPr>
          <w:rFonts w:ascii="Arial" w:hAnsi="Arial" w:cs="Arial"/>
          <w:color w:val="000000" w:themeColor="text1"/>
          <w:sz w:val="28"/>
          <w:szCs w:val="28"/>
        </w:rPr>
        <w:t>The issuance and circulation of Digital Assets (</w:t>
      </w:r>
      <w:r w:rsidR="00243E2F">
        <w:rPr>
          <w:rFonts w:ascii="Arial" w:hAnsi="Arial" w:cs="Arial"/>
          <w:color w:val="000000" w:themeColor="text1"/>
          <w:sz w:val="28"/>
          <w:szCs w:val="28"/>
        </w:rPr>
        <w:t>“</w:t>
      </w:r>
      <w:r w:rsidR="00C75378">
        <w:rPr>
          <w:rFonts w:ascii="Arial" w:hAnsi="Arial" w:cs="Arial"/>
          <w:color w:val="000000" w:themeColor="text1"/>
          <w:sz w:val="28"/>
          <w:szCs w:val="28"/>
        </w:rPr>
        <w:t>D</w:t>
      </w:r>
      <w:r w:rsidRPr="00C616FA">
        <w:rPr>
          <w:rFonts w:ascii="Arial" w:hAnsi="Arial" w:cs="Arial"/>
          <w:color w:val="000000" w:themeColor="text1"/>
          <w:sz w:val="28"/>
          <w:szCs w:val="28"/>
        </w:rPr>
        <w:t>A</w:t>
      </w:r>
      <w:r w:rsidR="00243E2F">
        <w:rPr>
          <w:rFonts w:ascii="Arial" w:hAnsi="Arial" w:cs="Arial"/>
          <w:color w:val="000000" w:themeColor="text1"/>
          <w:sz w:val="28"/>
          <w:szCs w:val="28"/>
        </w:rPr>
        <w:t>”</w:t>
      </w:r>
      <w:r w:rsidRPr="00C616FA">
        <w:rPr>
          <w:rFonts w:ascii="Arial" w:hAnsi="Arial" w:cs="Arial"/>
          <w:color w:val="000000" w:themeColor="text1"/>
          <w:sz w:val="28"/>
          <w:szCs w:val="28"/>
        </w:rPr>
        <w:t xml:space="preserve">) is a relatively new trend in the financial </w:t>
      </w:r>
      <w:proofErr w:type="gramStart"/>
      <w:r w:rsidRPr="00C616FA">
        <w:rPr>
          <w:rFonts w:ascii="Arial" w:hAnsi="Arial" w:cs="Arial"/>
          <w:color w:val="000000" w:themeColor="text1"/>
          <w:sz w:val="28"/>
          <w:szCs w:val="28"/>
        </w:rPr>
        <w:t>markets,</w:t>
      </w:r>
      <w:proofErr w:type="gramEnd"/>
      <w:r w:rsidRPr="00C616FA">
        <w:rPr>
          <w:rFonts w:ascii="Arial" w:hAnsi="Arial" w:cs="Arial"/>
          <w:color w:val="000000" w:themeColor="text1"/>
          <w:sz w:val="28"/>
          <w:szCs w:val="28"/>
        </w:rPr>
        <w:t xml:space="preserve"> </w:t>
      </w:r>
      <w:r w:rsidR="00634F10">
        <w:rPr>
          <w:rFonts w:ascii="Arial" w:hAnsi="Arial" w:cs="Arial"/>
          <w:color w:val="000000" w:themeColor="text1"/>
          <w:sz w:val="28"/>
          <w:szCs w:val="28"/>
        </w:rPr>
        <w:t>however</w:t>
      </w:r>
      <w:r w:rsidR="00634F10" w:rsidRPr="00C616FA">
        <w:rPr>
          <w:rFonts w:ascii="Arial" w:hAnsi="Arial" w:cs="Arial"/>
          <w:color w:val="000000" w:themeColor="text1"/>
          <w:sz w:val="28"/>
          <w:szCs w:val="28"/>
        </w:rPr>
        <w:t xml:space="preserve"> </w:t>
      </w:r>
      <w:r w:rsidRPr="00C616FA">
        <w:rPr>
          <w:rFonts w:ascii="Arial" w:hAnsi="Arial" w:cs="Arial"/>
          <w:color w:val="000000" w:themeColor="text1"/>
          <w:sz w:val="28"/>
          <w:szCs w:val="28"/>
        </w:rPr>
        <w:t xml:space="preserve">it has already gained high popularity among users. The attractiveness of the </w:t>
      </w:r>
      <w:r w:rsidR="001F7AF7">
        <w:rPr>
          <w:rFonts w:ascii="Arial" w:hAnsi="Arial" w:cs="Arial"/>
          <w:color w:val="000000" w:themeColor="text1"/>
          <w:sz w:val="28"/>
          <w:szCs w:val="28"/>
        </w:rPr>
        <w:t>DAs</w:t>
      </w:r>
      <w:r w:rsidRPr="00C616FA">
        <w:rPr>
          <w:rFonts w:ascii="Arial" w:hAnsi="Arial" w:cs="Arial"/>
          <w:color w:val="000000" w:themeColor="text1"/>
          <w:sz w:val="28"/>
          <w:szCs w:val="28"/>
        </w:rPr>
        <w:t xml:space="preserve"> is based on the use of the advantages of special distributed ledger technology, such as, for example, reducing the role of intermediaries in transactions and automating </w:t>
      </w:r>
      <w:r w:rsidRPr="00ED368C">
        <w:rPr>
          <w:rFonts w:ascii="Arial" w:hAnsi="Arial" w:cs="Arial"/>
          <w:color w:val="000000" w:themeColor="text1"/>
          <w:sz w:val="28"/>
          <w:szCs w:val="28"/>
        </w:rPr>
        <w:t xml:space="preserve">transactions using smart contracts. At the same time, the </w:t>
      </w:r>
      <w:r w:rsidR="00C75378" w:rsidRPr="00ED368C">
        <w:rPr>
          <w:rFonts w:ascii="Arial" w:hAnsi="Arial" w:cs="Arial"/>
          <w:color w:val="000000" w:themeColor="text1"/>
          <w:sz w:val="28"/>
          <w:szCs w:val="28"/>
        </w:rPr>
        <w:t>DA</w:t>
      </w:r>
      <w:r w:rsidRPr="00ED368C">
        <w:rPr>
          <w:rFonts w:ascii="Arial" w:hAnsi="Arial" w:cs="Arial"/>
          <w:color w:val="000000" w:themeColor="text1"/>
          <w:sz w:val="28"/>
          <w:szCs w:val="28"/>
        </w:rPr>
        <w:t xml:space="preserve"> market is still at the stage of its </w:t>
      </w:r>
      <w:r w:rsidR="009212D5" w:rsidRPr="00ED368C">
        <w:rPr>
          <w:rFonts w:ascii="Arial" w:hAnsi="Arial" w:cs="Arial"/>
          <w:color w:val="000000" w:themeColor="text1"/>
          <w:sz w:val="28"/>
          <w:szCs w:val="28"/>
        </w:rPr>
        <w:t>development</w:t>
      </w:r>
      <w:r w:rsidRPr="00ED368C">
        <w:rPr>
          <w:rFonts w:ascii="Arial" w:hAnsi="Arial" w:cs="Arial"/>
          <w:color w:val="000000" w:themeColor="text1"/>
          <w:sz w:val="28"/>
          <w:szCs w:val="28"/>
        </w:rPr>
        <w:t>, and</w:t>
      </w:r>
      <w:r w:rsidRPr="00C616FA">
        <w:rPr>
          <w:rFonts w:ascii="Arial" w:hAnsi="Arial" w:cs="Arial"/>
          <w:color w:val="000000" w:themeColor="text1"/>
          <w:sz w:val="28"/>
          <w:szCs w:val="28"/>
        </w:rPr>
        <w:t xml:space="preserve"> the volume of trading in </w:t>
      </w:r>
      <w:r w:rsidR="008B6145">
        <w:rPr>
          <w:rFonts w:ascii="Arial" w:hAnsi="Arial" w:cs="Arial"/>
          <w:color w:val="000000" w:themeColor="text1"/>
          <w:sz w:val="28"/>
          <w:szCs w:val="28"/>
        </w:rPr>
        <w:t>DA</w:t>
      </w:r>
      <w:r w:rsidR="009F2A3A">
        <w:rPr>
          <w:rFonts w:ascii="Arial" w:hAnsi="Arial" w:cs="Arial"/>
          <w:color w:val="000000" w:themeColor="text1"/>
          <w:sz w:val="28"/>
          <w:szCs w:val="28"/>
        </w:rPr>
        <w:t>s</w:t>
      </w:r>
      <w:r w:rsidRPr="00C616FA">
        <w:rPr>
          <w:rFonts w:ascii="Arial" w:hAnsi="Arial" w:cs="Arial"/>
          <w:color w:val="000000" w:themeColor="text1"/>
          <w:sz w:val="28"/>
          <w:szCs w:val="28"/>
        </w:rPr>
        <w:t xml:space="preserve"> is inferior to the volume of transactions in traditional financial instruments. </w:t>
      </w:r>
    </w:p>
    <w:p w14:paraId="107DA2CD" w14:textId="6F4B8EA9" w:rsidR="00452E46" w:rsidRPr="007B3F28" w:rsidRDefault="008973FB" w:rsidP="003B475F">
      <w:pPr>
        <w:spacing w:line="360" w:lineRule="auto"/>
        <w:jc w:val="both"/>
        <w:rPr>
          <w:rFonts w:ascii="Arial" w:hAnsi="Arial" w:cs="Arial"/>
          <w:sz w:val="28"/>
          <w:szCs w:val="28"/>
        </w:rPr>
      </w:pPr>
      <w:r w:rsidRPr="30C7BF06">
        <w:rPr>
          <w:rFonts w:ascii="Arial" w:hAnsi="Arial" w:cs="Arial"/>
          <w:color w:val="000000" w:themeColor="text1"/>
          <w:sz w:val="28"/>
          <w:szCs w:val="28"/>
        </w:rPr>
        <w:t xml:space="preserve">At the same time, over the past few years, the </w:t>
      </w:r>
      <w:r w:rsidR="00C75378">
        <w:rPr>
          <w:rFonts w:ascii="Arial" w:hAnsi="Arial" w:cs="Arial"/>
          <w:color w:val="000000" w:themeColor="text1"/>
          <w:sz w:val="28"/>
          <w:szCs w:val="28"/>
        </w:rPr>
        <w:t>DA</w:t>
      </w:r>
      <w:r w:rsidRPr="30C7BF06">
        <w:rPr>
          <w:rFonts w:ascii="Arial" w:hAnsi="Arial" w:cs="Arial"/>
          <w:color w:val="000000" w:themeColor="text1"/>
          <w:sz w:val="28"/>
          <w:szCs w:val="28"/>
        </w:rPr>
        <w:t xml:space="preserve"> market has grown significantly. The use of technologies can significantly optimize business processes, speed up interaction with customers, market participants and regulators, as well as improve the quality and personalization of products and services provided to </w:t>
      </w:r>
      <w:r w:rsidR="00452E46" w:rsidRPr="30C7BF06">
        <w:rPr>
          <w:rFonts w:ascii="Arial" w:hAnsi="Arial" w:cs="Arial"/>
          <w:sz w:val="28"/>
          <w:szCs w:val="28"/>
        </w:rPr>
        <w:t xml:space="preserve">consumers. </w:t>
      </w:r>
      <w:r w:rsidR="007175A6" w:rsidRPr="007175A6">
        <w:rPr>
          <w:rFonts w:ascii="Arial" w:hAnsi="Arial" w:cs="Arial"/>
          <w:sz w:val="28"/>
          <w:szCs w:val="28"/>
        </w:rPr>
        <w:t>DA</w:t>
      </w:r>
      <w:r w:rsidR="006E59B0">
        <w:rPr>
          <w:rFonts w:ascii="Arial" w:hAnsi="Arial" w:cs="Arial"/>
          <w:sz w:val="28"/>
          <w:szCs w:val="28"/>
        </w:rPr>
        <w:t>s</w:t>
      </w:r>
      <w:r w:rsidR="007175A6" w:rsidRPr="007175A6">
        <w:rPr>
          <w:rFonts w:ascii="Arial" w:hAnsi="Arial" w:cs="Arial"/>
          <w:sz w:val="28"/>
          <w:szCs w:val="28"/>
        </w:rPr>
        <w:t xml:space="preserve"> have become increasingly used for cross-border </w:t>
      </w:r>
      <w:r w:rsidR="007175A6">
        <w:rPr>
          <w:rFonts w:ascii="Arial" w:hAnsi="Arial" w:cs="Arial"/>
          <w:sz w:val="28"/>
          <w:szCs w:val="28"/>
        </w:rPr>
        <w:t>transactions</w:t>
      </w:r>
      <w:r w:rsidR="007175A6" w:rsidRPr="007175A6">
        <w:rPr>
          <w:rFonts w:ascii="Arial" w:hAnsi="Arial" w:cs="Arial"/>
          <w:sz w:val="28"/>
          <w:szCs w:val="28"/>
        </w:rPr>
        <w:t xml:space="preserve"> or in investments as a more convenient alternative to traditional instruments. </w:t>
      </w:r>
      <w:r w:rsidR="00452E46" w:rsidRPr="30C7BF06">
        <w:rPr>
          <w:rFonts w:ascii="Arial" w:hAnsi="Arial" w:cs="Arial"/>
          <w:sz w:val="28"/>
          <w:szCs w:val="28"/>
        </w:rPr>
        <w:t xml:space="preserve">Technological innovations and improvements lead to the development of the </w:t>
      </w:r>
      <w:r w:rsidR="007175A6">
        <w:rPr>
          <w:rFonts w:ascii="Arial" w:hAnsi="Arial" w:cs="Arial"/>
          <w:sz w:val="28"/>
          <w:szCs w:val="28"/>
        </w:rPr>
        <w:t>DA</w:t>
      </w:r>
      <w:r w:rsidR="00452E46" w:rsidRPr="30C7BF06">
        <w:rPr>
          <w:rFonts w:ascii="Arial" w:hAnsi="Arial" w:cs="Arial"/>
          <w:sz w:val="28"/>
          <w:szCs w:val="28"/>
        </w:rPr>
        <w:t xml:space="preserve"> industry, simplifying access to financial services and technologies, increasing the speed of transactions.</w:t>
      </w:r>
    </w:p>
    <w:p w14:paraId="5E4E61DE" w14:textId="50DEE9E4" w:rsidR="63C472B9" w:rsidRPr="007B3F28" w:rsidRDefault="63C472B9" w:rsidP="30C7BF06">
      <w:pPr>
        <w:spacing w:line="360" w:lineRule="auto"/>
        <w:jc w:val="both"/>
        <w:rPr>
          <w:rFonts w:ascii="Arial" w:hAnsi="Arial" w:cs="Arial"/>
          <w:sz w:val="28"/>
          <w:szCs w:val="28"/>
        </w:rPr>
      </w:pPr>
      <w:r w:rsidRPr="30C7BF06">
        <w:rPr>
          <w:rFonts w:ascii="Arial" w:hAnsi="Arial" w:cs="Arial"/>
          <w:sz w:val="28"/>
          <w:szCs w:val="28"/>
        </w:rPr>
        <w:t xml:space="preserve">In total, the trading volume of all </w:t>
      </w:r>
      <w:r w:rsidR="007175A6">
        <w:rPr>
          <w:rFonts w:ascii="Arial" w:hAnsi="Arial" w:cs="Arial"/>
          <w:sz w:val="28"/>
          <w:szCs w:val="28"/>
        </w:rPr>
        <w:t>DASPs</w:t>
      </w:r>
      <w:r w:rsidRPr="30C7BF06">
        <w:rPr>
          <w:rFonts w:ascii="Arial" w:hAnsi="Arial" w:cs="Arial"/>
          <w:sz w:val="28"/>
          <w:szCs w:val="28"/>
        </w:rPr>
        <w:t xml:space="preserve"> licensed in the AIFC for 2023 amounted to </w:t>
      </w:r>
      <w:r w:rsidR="007175A6">
        <w:rPr>
          <w:rFonts w:ascii="Arial" w:hAnsi="Arial" w:cs="Arial"/>
          <w:sz w:val="28"/>
          <w:szCs w:val="28"/>
        </w:rPr>
        <w:t xml:space="preserve">US$ </w:t>
      </w:r>
      <w:r w:rsidRPr="30C7BF06">
        <w:rPr>
          <w:rFonts w:ascii="Arial" w:hAnsi="Arial" w:cs="Arial"/>
          <w:sz w:val="28"/>
          <w:szCs w:val="28"/>
        </w:rPr>
        <w:t>320,729,732, with a total number of</w:t>
      </w:r>
      <w:r w:rsidR="00415C1A">
        <w:rPr>
          <w:rFonts w:ascii="Arial" w:hAnsi="Arial" w:cs="Arial"/>
          <w:sz w:val="28"/>
          <w:szCs w:val="28"/>
        </w:rPr>
        <w:t xml:space="preserve"> </w:t>
      </w:r>
      <w:r w:rsidR="00415C1A" w:rsidRPr="30C7BF06">
        <w:rPr>
          <w:rFonts w:ascii="Arial" w:hAnsi="Arial" w:cs="Arial"/>
          <w:sz w:val="28"/>
          <w:szCs w:val="28"/>
        </w:rPr>
        <w:t>52,913</w:t>
      </w:r>
      <w:r w:rsidRPr="30C7BF06">
        <w:rPr>
          <w:rFonts w:ascii="Arial" w:hAnsi="Arial" w:cs="Arial"/>
          <w:sz w:val="28"/>
          <w:szCs w:val="28"/>
        </w:rPr>
        <w:t xml:space="preserve"> clients </w:t>
      </w:r>
      <w:r w:rsidR="00415C1A">
        <w:rPr>
          <w:rFonts w:ascii="Arial" w:hAnsi="Arial" w:cs="Arial"/>
          <w:sz w:val="28"/>
          <w:szCs w:val="28"/>
        </w:rPr>
        <w:t>onboarded by DASPs.</w:t>
      </w:r>
      <w:r w:rsidRPr="30C7BF06">
        <w:rPr>
          <w:rFonts w:ascii="Arial" w:hAnsi="Arial" w:cs="Arial"/>
          <w:sz w:val="28"/>
          <w:szCs w:val="28"/>
        </w:rPr>
        <w:t xml:space="preserve"> </w:t>
      </w:r>
    </w:p>
    <w:p w14:paraId="5AB6F97E" w14:textId="743FF47C" w:rsidR="33B12C30" w:rsidRPr="007B3F28" w:rsidRDefault="63C472B9" w:rsidP="30C7BF06">
      <w:pPr>
        <w:spacing w:line="360" w:lineRule="auto"/>
        <w:jc w:val="both"/>
        <w:rPr>
          <w:rFonts w:ascii="Arial" w:hAnsi="Arial" w:cs="Arial"/>
          <w:sz w:val="28"/>
          <w:szCs w:val="28"/>
        </w:rPr>
      </w:pPr>
      <w:r w:rsidRPr="30C7BF06">
        <w:rPr>
          <w:rFonts w:ascii="Arial" w:hAnsi="Arial" w:cs="Arial"/>
          <w:sz w:val="28"/>
          <w:szCs w:val="28"/>
        </w:rPr>
        <w:t xml:space="preserve">In comparison, at the end of the first quarter of 2024 alone, the trading volume of the </w:t>
      </w:r>
      <w:r w:rsidR="007175A6">
        <w:rPr>
          <w:rFonts w:ascii="Arial" w:hAnsi="Arial" w:cs="Arial"/>
          <w:sz w:val="28"/>
          <w:szCs w:val="28"/>
        </w:rPr>
        <w:t>DASPs</w:t>
      </w:r>
      <w:r w:rsidRPr="30C7BF06">
        <w:rPr>
          <w:rFonts w:ascii="Arial" w:hAnsi="Arial" w:cs="Arial"/>
          <w:sz w:val="28"/>
          <w:szCs w:val="28"/>
        </w:rPr>
        <w:t xml:space="preserve"> was </w:t>
      </w:r>
      <w:r w:rsidR="007175A6">
        <w:rPr>
          <w:rFonts w:ascii="Arial" w:hAnsi="Arial" w:cs="Arial"/>
          <w:sz w:val="28"/>
          <w:szCs w:val="28"/>
        </w:rPr>
        <w:t>US</w:t>
      </w:r>
      <w:r w:rsidRPr="30C7BF06">
        <w:rPr>
          <w:rFonts w:ascii="Arial" w:hAnsi="Arial" w:cs="Arial"/>
          <w:sz w:val="28"/>
          <w:szCs w:val="28"/>
        </w:rPr>
        <w:t>$</w:t>
      </w:r>
      <w:r w:rsidR="007175A6">
        <w:rPr>
          <w:rFonts w:ascii="Arial" w:hAnsi="Arial" w:cs="Arial"/>
          <w:sz w:val="28"/>
          <w:szCs w:val="28"/>
        </w:rPr>
        <w:t xml:space="preserve"> </w:t>
      </w:r>
      <w:r w:rsidRPr="30C7BF06">
        <w:rPr>
          <w:rFonts w:ascii="Arial" w:hAnsi="Arial" w:cs="Arial"/>
          <w:sz w:val="28"/>
          <w:szCs w:val="28"/>
        </w:rPr>
        <w:t xml:space="preserve">232,311,156. The total number of customers registered on the </w:t>
      </w:r>
      <w:r w:rsidR="007175A6">
        <w:rPr>
          <w:rFonts w:ascii="Arial" w:hAnsi="Arial" w:cs="Arial"/>
          <w:sz w:val="28"/>
          <w:szCs w:val="28"/>
        </w:rPr>
        <w:t>DASPs</w:t>
      </w:r>
      <w:r w:rsidRPr="30C7BF06">
        <w:rPr>
          <w:rFonts w:ascii="Arial" w:hAnsi="Arial" w:cs="Arial"/>
          <w:sz w:val="28"/>
          <w:szCs w:val="28"/>
        </w:rPr>
        <w:t xml:space="preserve"> </w:t>
      </w:r>
      <w:r w:rsidR="007175A6">
        <w:rPr>
          <w:rFonts w:ascii="Arial" w:hAnsi="Arial" w:cs="Arial"/>
          <w:sz w:val="28"/>
          <w:szCs w:val="28"/>
        </w:rPr>
        <w:t>platforms</w:t>
      </w:r>
      <w:r w:rsidRPr="30C7BF06">
        <w:rPr>
          <w:rFonts w:ascii="Arial" w:hAnsi="Arial" w:cs="Arial"/>
          <w:sz w:val="28"/>
          <w:szCs w:val="28"/>
        </w:rPr>
        <w:t xml:space="preserve"> in the first quarter of 2024 increased by more than 20,000 users and amounted to 74,096 people. Thus, the above data confirm the high growth rates of the </w:t>
      </w:r>
      <w:r w:rsidR="007175A6">
        <w:rPr>
          <w:rFonts w:ascii="Arial" w:hAnsi="Arial" w:cs="Arial"/>
          <w:sz w:val="28"/>
          <w:szCs w:val="28"/>
        </w:rPr>
        <w:t>DA</w:t>
      </w:r>
      <w:r w:rsidRPr="30C7BF06">
        <w:rPr>
          <w:rFonts w:ascii="Arial" w:hAnsi="Arial" w:cs="Arial"/>
          <w:sz w:val="28"/>
          <w:szCs w:val="28"/>
        </w:rPr>
        <w:t xml:space="preserve"> market. </w:t>
      </w:r>
    </w:p>
    <w:p w14:paraId="4E6018DC" w14:textId="6080E480" w:rsidR="0057492F" w:rsidRPr="001570CD" w:rsidRDefault="00FC57C1" w:rsidP="003B475F">
      <w:pPr>
        <w:spacing w:line="360" w:lineRule="auto"/>
        <w:jc w:val="both"/>
        <w:rPr>
          <w:rFonts w:ascii="Arial" w:hAnsi="Arial" w:cs="Arial"/>
          <w:sz w:val="28"/>
          <w:szCs w:val="28"/>
        </w:rPr>
      </w:pPr>
      <w:r w:rsidRPr="7AD5C25C">
        <w:rPr>
          <w:rFonts w:ascii="Arial" w:hAnsi="Arial" w:cs="Arial"/>
          <w:sz w:val="28"/>
          <w:szCs w:val="28"/>
        </w:rPr>
        <w:lastRenderedPageBreak/>
        <w:t xml:space="preserve">Due to technological features, the issuance and circulation of </w:t>
      </w:r>
      <w:r w:rsidR="007175A6">
        <w:rPr>
          <w:rFonts w:ascii="Arial" w:hAnsi="Arial" w:cs="Arial"/>
          <w:sz w:val="28"/>
          <w:szCs w:val="28"/>
        </w:rPr>
        <w:t>DA</w:t>
      </w:r>
      <w:r w:rsidR="0057372D">
        <w:rPr>
          <w:rFonts w:ascii="Arial" w:hAnsi="Arial" w:cs="Arial"/>
          <w:sz w:val="28"/>
          <w:szCs w:val="28"/>
        </w:rPr>
        <w:t>s</w:t>
      </w:r>
      <w:r w:rsidRPr="7AD5C25C">
        <w:rPr>
          <w:rFonts w:ascii="Arial" w:hAnsi="Arial" w:cs="Arial"/>
          <w:sz w:val="28"/>
          <w:szCs w:val="28"/>
        </w:rPr>
        <w:t xml:space="preserve"> are carried out directly </w:t>
      </w:r>
      <w:r w:rsidR="00466445">
        <w:rPr>
          <w:rFonts w:ascii="Arial" w:hAnsi="Arial" w:cs="Arial"/>
          <w:sz w:val="28"/>
          <w:szCs w:val="28"/>
        </w:rPr>
        <w:t>o</w:t>
      </w:r>
      <w:r w:rsidRPr="7AD5C25C">
        <w:rPr>
          <w:rFonts w:ascii="Arial" w:hAnsi="Arial" w:cs="Arial"/>
          <w:sz w:val="28"/>
          <w:szCs w:val="28"/>
        </w:rPr>
        <w:t>n the blockchain</w:t>
      </w:r>
      <w:r w:rsidR="000D7424" w:rsidRPr="7AD5C25C">
        <w:rPr>
          <w:rStyle w:val="FootnoteReference"/>
          <w:rFonts w:ascii="Arial" w:hAnsi="Arial" w:cs="Arial"/>
          <w:sz w:val="28"/>
          <w:szCs w:val="28"/>
        </w:rPr>
        <w:footnoteReference w:id="2"/>
      </w:r>
      <w:r w:rsidR="00D60E9C" w:rsidRPr="7AD5C25C">
        <w:rPr>
          <w:rFonts w:ascii="Arial" w:hAnsi="Arial" w:cs="Arial"/>
          <w:sz w:val="28"/>
          <w:szCs w:val="28"/>
        </w:rPr>
        <w:t xml:space="preserve">. At the same time, transactions between owners can be carried out in three ways: </w:t>
      </w:r>
    </w:p>
    <w:p w14:paraId="2CDD478C" w14:textId="36CD72E4" w:rsidR="00A00D47" w:rsidRPr="007B3F28" w:rsidRDefault="0057492F" w:rsidP="003B475F">
      <w:pPr>
        <w:spacing w:line="360" w:lineRule="auto"/>
        <w:jc w:val="both"/>
        <w:rPr>
          <w:rFonts w:ascii="Arial" w:hAnsi="Arial" w:cs="Arial"/>
          <w:sz w:val="28"/>
          <w:szCs w:val="28"/>
        </w:rPr>
      </w:pPr>
      <w:r w:rsidRPr="7AD5C25C">
        <w:rPr>
          <w:rFonts w:ascii="Arial" w:hAnsi="Arial" w:cs="Arial"/>
          <w:sz w:val="28"/>
          <w:szCs w:val="28"/>
        </w:rPr>
        <w:t xml:space="preserve">A) Through intermediaries, which are specially created centralized platforms - for example, exchanges, participants in the traditional financial market, providers of digital asset services. The transfer of digital assets and funds is carried out using the exchange infrastructure (platform), in which the corresponding wallets (accounts) of users - parties to transactions are opened. </w:t>
      </w:r>
    </w:p>
    <w:p w14:paraId="13E4C1C2" w14:textId="5C6F13F9" w:rsidR="00673D88" w:rsidRPr="00ED368C" w:rsidRDefault="3DFDA1DF" w:rsidP="003B475F">
      <w:pPr>
        <w:spacing w:line="360" w:lineRule="auto"/>
        <w:jc w:val="both"/>
        <w:rPr>
          <w:rFonts w:ascii="Arial" w:hAnsi="Arial" w:cs="Arial"/>
          <w:sz w:val="28"/>
          <w:szCs w:val="28"/>
        </w:rPr>
      </w:pPr>
      <w:r w:rsidRPr="68A3C7B1">
        <w:rPr>
          <w:rFonts w:ascii="Arial" w:hAnsi="Arial" w:cs="Arial"/>
          <w:sz w:val="28"/>
          <w:szCs w:val="28"/>
        </w:rPr>
        <w:t xml:space="preserve">B) Without intermediaries, that is, directly between the parties to the transaction. The </w:t>
      </w:r>
      <w:r w:rsidRPr="00ED368C">
        <w:rPr>
          <w:rFonts w:ascii="Arial" w:hAnsi="Arial" w:cs="Arial"/>
          <w:sz w:val="28"/>
          <w:szCs w:val="28"/>
        </w:rPr>
        <w:t xml:space="preserve">transfer of the </w:t>
      </w:r>
      <w:r w:rsidR="77399988" w:rsidRPr="00ED368C">
        <w:rPr>
          <w:rFonts w:ascii="Arial" w:hAnsi="Arial" w:cs="Arial"/>
          <w:sz w:val="28"/>
          <w:szCs w:val="28"/>
        </w:rPr>
        <w:t>DA</w:t>
      </w:r>
      <w:r w:rsidRPr="00ED368C">
        <w:rPr>
          <w:rFonts w:ascii="Arial" w:hAnsi="Arial" w:cs="Arial"/>
          <w:sz w:val="28"/>
          <w:szCs w:val="28"/>
        </w:rPr>
        <w:t xml:space="preserve"> is carried out on the blockchain, and </w:t>
      </w:r>
      <w:r w:rsidR="77399988" w:rsidRPr="00ED368C">
        <w:rPr>
          <w:rFonts w:ascii="Arial" w:hAnsi="Arial" w:cs="Arial"/>
          <w:sz w:val="28"/>
          <w:szCs w:val="28"/>
        </w:rPr>
        <w:t>payments mostly take place outside the information system through traditional bank transfers</w:t>
      </w:r>
      <w:r w:rsidRPr="00ED368C">
        <w:rPr>
          <w:rFonts w:ascii="Arial" w:hAnsi="Arial" w:cs="Arial"/>
          <w:sz w:val="28"/>
          <w:szCs w:val="28"/>
        </w:rPr>
        <w:t>. With this approach, the parties o</w:t>
      </w:r>
      <w:r w:rsidR="77399988" w:rsidRPr="00ED368C">
        <w:rPr>
          <w:rFonts w:ascii="Arial" w:hAnsi="Arial" w:cs="Arial"/>
          <w:sz w:val="28"/>
          <w:szCs w:val="28"/>
        </w:rPr>
        <w:t>f</w:t>
      </w:r>
      <w:r w:rsidRPr="00ED368C">
        <w:rPr>
          <w:rFonts w:ascii="Arial" w:hAnsi="Arial" w:cs="Arial"/>
          <w:sz w:val="28"/>
          <w:szCs w:val="28"/>
        </w:rPr>
        <w:t xml:space="preserve"> the transaction accept the possible risks of non-delivery of a token (digital asset) or </w:t>
      </w:r>
      <w:r w:rsidR="77399988" w:rsidRPr="00ED368C">
        <w:rPr>
          <w:rFonts w:ascii="Arial" w:hAnsi="Arial" w:cs="Arial"/>
          <w:sz w:val="28"/>
          <w:szCs w:val="28"/>
        </w:rPr>
        <w:t>money</w:t>
      </w:r>
      <w:r w:rsidRPr="00ED368C">
        <w:rPr>
          <w:rFonts w:ascii="Arial" w:hAnsi="Arial" w:cs="Arial"/>
          <w:sz w:val="28"/>
          <w:szCs w:val="28"/>
        </w:rPr>
        <w:t xml:space="preserve">. </w:t>
      </w:r>
    </w:p>
    <w:p w14:paraId="1EFB5AA3" w14:textId="5AB411A5" w:rsidR="00764677" w:rsidRPr="00ED368C" w:rsidRDefault="00673D88" w:rsidP="003B475F">
      <w:pPr>
        <w:spacing w:line="360" w:lineRule="auto"/>
        <w:jc w:val="both"/>
        <w:rPr>
          <w:rFonts w:ascii="Arial" w:hAnsi="Arial" w:cs="Arial"/>
          <w:sz w:val="28"/>
          <w:szCs w:val="28"/>
        </w:rPr>
      </w:pPr>
      <w:r w:rsidRPr="00ED368C">
        <w:rPr>
          <w:rFonts w:ascii="Arial" w:hAnsi="Arial" w:cs="Arial"/>
          <w:sz w:val="28"/>
          <w:szCs w:val="28"/>
        </w:rPr>
        <w:t xml:space="preserve">C) Without intermediaries using decentralized solutions (DeFi infrastructure). With this approach, the conclusion and execution of transactions, including </w:t>
      </w:r>
      <w:r w:rsidR="00F92302" w:rsidRPr="00ED368C">
        <w:rPr>
          <w:rFonts w:ascii="Arial" w:hAnsi="Arial" w:cs="Arial"/>
          <w:sz w:val="28"/>
          <w:szCs w:val="28"/>
        </w:rPr>
        <w:t>payments</w:t>
      </w:r>
      <w:r w:rsidRPr="00ED368C">
        <w:rPr>
          <w:rFonts w:ascii="Arial" w:hAnsi="Arial" w:cs="Arial"/>
          <w:sz w:val="28"/>
          <w:szCs w:val="28"/>
        </w:rPr>
        <w:t>, take place in the information system without the participation of an intermediary.</w:t>
      </w:r>
    </w:p>
    <w:p w14:paraId="48D75DF8" w14:textId="661DE176" w:rsidR="00E722B1" w:rsidRPr="007B3F28" w:rsidRDefault="00E722B1" w:rsidP="003B475F">
      <w:pPr>
        <w:spacing w:line="360" w:lineRule="auto"/>
        <w:jc w:val="both"/>
        <w:rPr>
          <w:rFonts w:ascii="Arial" w:hAnsi="Arial" w:cs="Arial"/>
          <w:sz w:val="28"/>
          <w:szCs w:val="28"/>
        </w:rPr>
      </w:pPr>
      <w:r w:rsidRPr="00ED368C">
        <w:rPr>
          <w:rFonts w:ascii="Arial" w:hAnsi="Arial" w:cs="Arial"/>
          <w:sz w:val="28"/>
          <w:szCs w:val="28"/>
        </w:rPr>
        <w:t xml:space="preserve">The issue of a </w:t>
      </w:r>
      <w:r w:rsidR="00F92302" w:rsidRPr="00ED368C">
        <w:rPr>
          <w:rFonts w:ascii="Arial" w:hAnsi="Arial" w:cs="Arial"/>
          <w:sz w:val="28"/>
          <w:szCs w:val="28"/>
        </w:rPr>
        <w:t>D</w:t>
      </w:r>
      <w:r w:rsidRPr="00ED368C">
        <w:rPr>
          <w:rFonts w:ascii="Arial" w:hAnsi="Arial" w:cs="Arial"/>
          <w:sz w:val="28"/>
          <w:szCs w:val="28"/>
        </w:rPr>
        <w:t xml:space="preserve">A provides the issuer and investors with </w:t>
      </w:r>
      <w:proofErr w:type="gramStart"/>
      <w:r w:rsidRPr="00ED368C">
        <w:rPr>
          <w:rFonts w:ascii="Arial" w:hAnsi="Arial" w:cs="Arial"/>
          <w:sz w:val="28"/>
          <w:szCs w:val="28"/>
        </w:rPr>
        <w:t>a number of</w:t>
      </w:r>
      <w:proofErr w:type="gramEnd"/>
      <w:r w:rsidRPr="00ED368C">
        <w:rPr>
          <w:rFonts w:ascii="Arial" w:hAnsi="Arial" w:cs="Arial"/>
          <w:sz w:val="28"/>
          <w:szCs w:val="28"/>
        </w:rPr>
        <w:t xml:space="preserve"> advantages, such as</w:t>
      </w:r>
      <w:r>
        <w:rPr>
          <w:rFonts w:ascii="Arial" w:hAnsi="Arial" w:cs="Arial"/>
          <w:sz w:val="28"/>
          <w:szCs w:val="28"/>
        </w:rPr>
        <w:t>:</w:t>
      </w:r>
    </w:p>
    <w:p w14:paraId="5CD4265D" w14:textId="0B5B0817" w:rsidR="0099608F" w:rsidRPr="007B3F28" w:rsidRDefault="00F95E04" w:rsidP="003B475F">
      <w:pPr>
        <w:pStyle w:val="ListParagraph"/>
        <w:numPr>
          <w:ilvl w:val="0"/>
          <w:numId w:val="10"/>
        </w:numPr>
        <w:spacing w:line="360" w:lineRule="auto"/>
        <w:jc w:val="both"/>
        <w:rPr>
          <w:rFonts w:ascii="Arial" w:hAnsi="Arial" w:cs="Arial"/>
          <w:sz w:val="28"/>
          <w:szCs w:val="28"/>
        </w:rPr>
      </w:pPr>
      <w:r w:rsidRPr="00C616FA">
        <w:rPr>
          <w:rFonts w:ascii="Arial" w:hAnsi="Arial" w:cs="Arial"/>
          <w:sz w:val="28"/>
          <w:szCs w:val="28"/>
        </w:rPr>
        <w:t xml:space="preserve">The ability to </w:t>
      </w:r>
      <w:r w:rsidR="00F918A1">
        <w:rPr>
          <w:rFonts w:ascii="Arial" w:hAnsi="Arial" w:cs="Arial"/>
          <w:sz w:val="28"/>
          <w:szCs w:val="28"/>
        </w:rPr>
        <w:t>fractionalize</w:t>
      </w:r>
      <w:r w:rsidRPr="00C616FA">
        <w:rPr>
          <w:rFonts w:ascii="Arial" w:hAnsi="Arial" w:cs="Arial"/>
          <w:sz w:val="28"/>
          <w:szCs w:val="28"/>
        </w:rPr>
        <w:t xml:space="preserve"> a security and issue multiple tokens of lower value </w:t>
      </w:r>
      <w:r w:rsidR="00F92302">
        <w:rPr>
          <w:rFonts w:ascii="Arial" w:hAnsi="Arial" w:cs="Arial"/>
          <w:sz w:val="28"/>
          <w:szCs w:val="28"/>
        </w:rPr>
        <w:t>reduce</w:t>
      </w:r>
      <w:r w:rsidRPr="00C616FA">
        <w:rPr>
          <w:rFonts w:ascii="Arial" w:hAnsi="Arial" w:cs="Arial"/>
          <w:sz w:val="28"/>
          <w:szCs w:val="28"/>
        </w:rPr>
        <w:t xml:space="preserve">s the threshold for retail investors </w:t>
      </w:r>
      <w:r w:rsidR="00F92302">
        <w:rPr>
          <w:rFonts w:ascii="Arial" w:hAnsi="Arial" w:cs="Arial"/>
          <w:sz w:val="28"/>
          <w:szCs w:val="28"/>
        </w:rPr>
        <w:t>participation</w:t>
      </w:r>
      <w:r w:rsidRPr="00C616FA">
        <w:rPr>
          <w:rFonts w:ascii="Arial" w:hAnsi="Arial" w:cs="Arial"/>
          <w:sz w:val="28"/>
          <w:szCs w:val="28"/>
        </w:rPr>
        <w:t xml:space="preserve">. </w:t>
      </w:r>
    </w:p>
    <w:p w14:paraId="72962712" w14:textId="5A13FFCD" w:rsidR="003F35A4" w:rsidRPr="007B3F28" w:rsidRDefault="00AB1344" w:rsidP="003B475F">
      <w:pPr>
        <w:pStyle w:val="ListParagraph"/>
        <w:numPr>
          <w:ilvl w:val="0"/>
          <w:numId w:val="10"/>
        </w:numPr>
        <w:spacing w:line="360" w:lineRule="auto"/>
        <w:jc w:val="both"/>
        <w:rPr>
          <w:rFonts w:ascii="Arial" w:hAnsi="Arial" w:cs="Arial"/>
          <w:sz w:val="28"/>
          <w:szCs w:val="28"/>
        </w:rPr>
      </w:pPr>
      <w:r w:rsidRPr="00C616FA">
        <w:rPr>
          <w:rFonts w:ascii="Arial" w:hAnsi="Arial" w:cs="Arial"/>
          <w:sz w:val="28"/>
          <w:szCs w:val="28"/>
        </w:rPr>
        <w:t>The ability to execute trades automatically according to an algorithm that is determined by a smart contract</w:t>
      </w:r>
      <w:r w:rsidR="00E47EDF">
        <w:rPr>
          <w:rStyle w:val="FootnoteReference"/>
          <w:rFonts w:ascii="Arial" w:hAnsi="Arial" w:cs="Arial"/>
          <w:sz w:val="28"/>
          <w:szCs w:val="28"/>
        </w:rPr>
        <w:footnoteReference w:id="3"/>
      </w:r>
      <w:r w:rsidR="002A62BB">
        <w:rPr>
          <w:rFonts w:ascii="Arial" w:hAnsi="Arial" w:cs="Arial"/>
          <w:sz w:val="28"/>
          <w:szCs w:val="28"/>
        </w:rPr>
        <w:t>, which a</w:t>
      </w:r>
      <w:r w:rsidR="003F35A4" w:rsidRPr="00C616FA">
        <w:rPr>
          <w:rFonts w:ascii="Arial" w:hAnsi="Arial" w:cs="Arial"/>
          <w:sz w:val="28"/>
          <w:szCs w:val="28"/>
        </w:rPr>
        <w:t xml:space="preserve">llows to reduce costs and the role of intermediaries. </w:t>
      </w:r>
    </w:p>
    <w:p w14:paraId="1D68574A" w14:textId="0754AE39" w:rsidR="00E722B1" w:rsidRPr="007B3F28" w:rsidRDefault="009C2774" w:rsidP="003B475F">
      <w:pPr>
        <w:pStyle w:val="ListParagraph"/>
        <w:numPr>
          <w:ilvl w:val="0"/>
          <w:numId w:val="10"/>
        </w:numPr>
        <w:spacing w:line="360" w:lineRule="auto"/>
        <w:jc w:val="both"/>
        <w:rPr>
          <w:rFonts w:ascii="Arial" w:hAnsi="Arial" w:cs="Arial"/>
          <w:sz w:val="28"/>
          <w:szCs w:val="28"/>
        </w:rPr>
      </w:pPr>
      <w:r w:rsidRPr="00C616FA">
        <w:rPr>
          <w:rFonts w:ascii="Arial" w:hAnsi="Arial" w:cs="Arial"/>
          <w:sz w:val="28"/>
          <w:szCs w:val="28"/>
        </w:rPr>
        <w:lastRenderedPageBreak/>
        <w:t>Simplification of the issuance procedure helps to reduce costs for issuers and increases speed.</w:t>
      </w:r>
    </w:p>
    <w:p w14:paraId="27E4F61C" w14:textId="1FC05FDB" w:rsidR="002A7B2F" w:rsidRPr="007B3F28" w:rsidRDefault="4172955F" w:rsidP="003B475F">
      <w:pPr>
        <w:spacing w:line="360" w:lineRule="auto"/>
        <w:jc w:val="both"/>
        <w:rPr>
          <w:rFonts w:ascii="Arial" w:hAnsi="Arial" w:cs="Arial"/>
          <w:sz w:val="28"/>
          <w:szCs w:val="28"/>
        </w:rPr>
      </w:pPr>
      <w:r w:rsidRPr="68A3C7B1">
        <w:rPr>
          <w:rFonts w:ascii="Arial" w:hAnsi="Arial" w:cs="Arial"/>
          <w:sz w:val="28"/>
          <w:szCs w:val="28"/>
        </w:rPr>
        <w:t xml:space="preserve">At the same time, the </w:t>
      </w:r>
      <w:r w:rsidR="77399988" w:rsidRPr="68A3C7B1">
        <w:rPr>
          <w:rFonts w:ascii="Arial" w:hAnsi="Arial" w:cs="Arial"/>
          <w:sz w:val="28"/>
          <w:szCs w:val="28"/>
        </w:rPr>
        <w:t>issue</w:t>
      </w:r>
      <w:r w:rsidRPr="68A3C7B1">
        <w:rPr>
          <w:rFonts w:ascii="Arial" w:hAnsi="Arial" w:cs="Arial"/>
          <w:sz w:val="28"/>
          <w:szCs w:val="28"/>
        </w:rPr>
        <w:t xml:space="preserve"> and circulation of </w:t>
      </w:r>
      <w:r w:rsidR="659FF94D" w:rsidRPr="68A3C7B1">
        <w:rPr>
          <w:rFonts w:ascii="Arial" w:hAnsi="Arial" w:cs="Arial"/>
          <w:sz w:val="28"/>
          <w:szCs w:val="28"/>
        </w:rPr>
        <w:t xml:space="preserve">a </w:t>
      </w:r>
      <w:r w:rsidR="77399988" w:rsidRPr="68A3C7B1">
        <w:rPr>
          <w:rFonts w:ascii="Arial" w:hAnsi="Arial" w:cs="Arial"/>
          <w:sz w:val="28"/>
          <w:szCs w:val="28"/>
        </w:rPr>
        <w:t>DA</w:t>
      </w:r>
      <w:r w:rsidRPr="68A3C7B1">
        <w:rPr>
          <w:rFonts w:ascii="Arial" w:hAnsi="Arial" w:cs="Arial"/>
          <w:sz w:val="28"/>
          <w:szCs w:val="28"/>
        </w:rPr>
        <w:t xml:space="preserve"> may be associated with restrictions and features of the technologies used: </w:t>
      </w:r>
    </w:p>
    <w:p w14:paraId="45DC8BA4" w14:textId="3D43EE0C" w:rsidR="00DC50A4" w:rsidRPr="007B3F28" w:rsidRDefault="00F92302" w:rsidP="003B475F">
      <w:pPr>
        <w:pStyle w:val="ListParagraph"/>
        <w:numPr>
          <w:ilvl w:val="0"/>
          <w:numId w:val="10"/>
        </w:numPr>
        <w:spacing w:line="360" w:lineRule="auto"/>
        <w:jc w:val="both"/>
        <w:rPr>
          <w:rFonts w:ascii="Arial" w:hAnsi="Arial" w:cs="Arial"/>
          <w:sz w:val="28"/>
          <w:szCs w:val="28"/>
        </w:rPr>
      </w:pPr>
      <w:r w:rsidRPr="00F92302">
        <w:rPr>
          <w:rFonts w:ascii="Arial" w:hAnsi="Arial" w:cs="Arial"/>
          <w:sz w:val="28"/>
          <w:szCs w:val="28"/>
        </w:rPr>
        <w:t xml:space="preserve">Operational </w:t>
      </w:r>
      <w:r>
        <w:rPr>
          <w:rFonts w:ascii="Arial" w:hAnsi="Arial" w:cs="Arial"/>
          <w:sz w:val="28"/>
          <w:szCs w:val="28"/>
        </w:rPr>
        <w:t>c</w:t>
      </w:r>
      <w:r w:rsidRPr="00F92302">
        <w:rPr>
          <w:rFonts w:ascii="Arial" w:hAnsi="Arial" w:cs="Arial"/>
          <w:sz w:val="28"/>
          <w:szCs w:val="28"/>
        </w:rPr>
        <w:t>ompatibility.</w:t>
      </w:r>
      <w:r>
        <w:rPr>
          <w:rFonts w:ascii="Arial" w:hAnsi="Arial" w:cs="Arial"/>
          <w:sz w:val="28"/>
          <w:szCs w:val="28"/>
        </w:rPr>
        <w:t xml:space="preserve"> </w:t>
      </w:r>
      <w:r w:rsidR="004D14CC" w:rsidRPr="004D14CC">
        <w:rPr>
          <w:rFonts w:ascii="Arial" w:hAnsi="Arial" w:cs="Arial"/>
          <w:sz w:val="28"/>
          <w:szCs w:val="28"/>
        </w:rPr>
        <w:t xml:space="preserve">Thus, </w:t>
      </w:r>
      <w:proofErr w:type="gramStart"/>
      <w:r w:rsidR="004D14CC" w:rsidRPr="004D14CC">
        <w:rPr>
          <w:rFonts w:ascii="Arial" w:hAnsi="Arial" w:cs="Arial"/>
          <w:sz w:val="28"/>
          <w:szCs w:val="28"/>
        </w:rPr>
        <w:t>in order to</w:t>
      </w:r>
      <w:proofErr w:type="gramEnd"/>
      <w:r w:rsidR="004D14CC" w:rsidRPr="004D14CC">
        <w:rPr>
          <w:rFonts w:ascii="Arial" w:hAnsi="Arial" w:cs="Arial"/>
          <w:sz w:val="28"/>
          <w:szCs w:val="28"/>
        </w:rPr>
        <w:t xml:space="preserve"> avoid fragmentation of financial markets, it is necessary to ensure compatibility both between the various information systems in which digital assets are issued and with the centralized information systems of traditional financial market participants (e.g., exchanges, depositories, brokers, clearing and </w:t>
      </w:r>
      <w:r w:rsidR="002F7F57">
        <w:rPr>
          <w:rFonts w:ascii="Arial" w:hAnsi="Arial" w:cs="Arial"/>
          <w:sz w:val="28"/>
          <w:szCs w:val="28"/>
        </w:rPr>
        <w:t>settlement</w:t>
      </w:r>
      <w:r w:rsidR="004D14CC" w:rsidRPr="004D14CC">
        <w:rPr>
          <w:rFonts w:ascii="Arial" w:hAnsi="Arial" w:cs="Arial"/>
          <w:sz w:val="28"/>
          <w:szCs w:val="28"/>
        </w:rPr>
        <w:t xml:space="preserve"> organizations). </w:t>
      </w:r>
      <w:r w:rsidR="008867D4" w:rsidRPr="008867D4">
        <w:rPr>
          <w:rFonts w:ascii="Arial" w:hAnsi="Arial" w:cs="Arial"/>
          <w:sz w:val="28"/>
          <w:szCs w:val="28"/>
        </w:rPr>
        <w:t xml:space="preserve">At the same time, market integrity and compatibility of different information systems can be ensured, </w:t>
      </w:r>
      <w:proofErr w:type="gramStart"/>
      <w:r w:rsidR="008867D4" w:rsidRPr="008867D4">
        <w:rPr>
          <w:rFonts w:ascii="Arial" w:hAnsi="Arial" w:cs="Arial"/>
          <w:sz w:val="28"/>
          <w:szCs w:val="28"/>
        </w:rPr>
        <w:t>in particular by</w:t>
      </w:r>
      <w:proofErr w:type="gramEnd"/>
      <w:r w:rsidR="008867D4" w:rsidRPr="008867D4">
        <w:rPr>
          <w:rFonts w:ascii="Arial" w:hAnsi="Arial" w:cs="Arial"/>
          <w:sz w:val="28"/>
          <w:szCs w:val="28"/>
        </w:rPr>
        <w:t xml:space="preserve"> establishing appropriate regulatory requirements.</w:t>
      </w:r>
    </w:p>
    <w:p w14:paraId="02410E86" w14:textId="43458F04" w:rsidR="00F94980" w:rsidRPr="007B3F28" w:rsidRDefault="000F45D4" w:rsidP="003B475F">
      <w:pPr>
        <w:pStyle w:val="ListParagraph"/>
        <w:numPr>
          <w:ilvl w:val="0"/>
          <w:numId w:val="10"/>
        </w:numPr>
        <w:spacing w:line="360" w:lineRule="auto"/>
        <w:jc w:val="both"/>
        <w:rPr>
          <w:rFonts w:ascii="Arial" w:hAnsi="Arial" w:cs="Arial"/>
          <w:sz w:val="28"/>
          <w:szCs w:val="28"/>
        </w:rPr>
      </w:pPr>
      <w:r w:rsidRPr="00C616FA">
        <w:rPr>
          <w:rFonts w:ascii="Arial" w:hAnsi="Arial" w:cs="Arial"/>
          <w:sz w:val="28"/>
          <w:szCs w:val="28"/>
        </w:rPr>
        <w:t xml:space="preserve">As a rule, the reliability of </w:t>
      </w:r>
      <w:r w:rsidR="002F7F57">
        <w:rPr>
          <w:rFonts w:ascii="Arial" w:hAnsi="Arial" w:cs="Arial"/>
          <w:sz w:val="28"/>
          <w:szCs w:val="28"/>
        </w:rPr>
        <w:t>DAs</w:t>
      </w:r>
      <w:r w:rsidRPr="00C616FA">
        <w:rPr>
          <w:rFonts w:ascii="Arial" w:hAnsi="Arial" w:cs="Arial"/>
          <w:sz w:val="28"/>
          <w:szCs w:val="28"/>
        </w:rPr>
        <w:t xml:space="preserve"> and the ability of their owners to exercise their rights directly depend on the quality of the issuer and the reliability of the real (</w:t>
      </w:r>
      <w:r w:rsidR="008867D4">
        <w:rPr>
          <w:rFonts w:ascii="Arial" w:hAnsi="Arial" w:cs="Arial"/>
          <w:sz w:val="28"/>
          <w:szCs w:val="28"/>
        </w:rPr>
        <w:t>underlying</w:t>
      </w:r>
      <w:r w:rsidRPr="00C616FA">
        <w:rPr>
          <w:rFonts w:ascii="Arial" w:hAnsi="Arial" w:cs="Arial"/>
          <w:sz w:val="28"/>
          <w:szCs w:val="28"/>
        </w:rPr>
        <w:t xml:space="preserve">) asset that the token is backed by. Therefore, for the full functioning of the market of such </w:t>
      </w:r>
      <w:r w:rsidR="008867D4">
        <w:rPr>
          <w:rFonts w:ascii="Arial" w:hAnsi="Arial" w:cs="Arial"/>
          <w:sz w:val="28"/>
          <w:szCs w:val="28"/>
        </w:rPr>
        <w:t>DA</w:t>
      </w:r>
      <w:r w:rsidRPr="00C616FA">
        <w:rPr>
          <w:rFonts w:ascii="Arial" w:hAnsi="Arial" w:cs="Arial"/>
          <w:sz w:val="28"/>
          <w:szCs w:val="28"/>
        </w:rPr>
        <w:t>, an appropriate regulatory framework is required, as well as business processes and infrastructure that ensure the connection between the token and the real asset (including the possibility of receiving cash flows associated with it (dividends, interest) and physical support (i.e., the presence of securities in the depository, precious metals in the vault, etc.).</w:t>
      </w:r>
    </w:p>
    <w:p w14:paraId="3EDB3B16" w14:textId="0559A138" w:rsidR="00452E46" w:rsidRPr="007B3F28" w:rsidRDefault="4DF9E8A6" w:rsidP="003B475F">
      <w:pPr>
        <w:spacing w:line="360" w:lineRule="auto"/>
        <w:jc w:val="both"/>
        <w:rPr>
          <w:rFonts w:ascii="Arial" w:hAnsi="Arial" w:cs="Arial"/>
          <w:sz w:val="28"/>
          <w:szCs w:val="28"/>
        </w:rPr>
      </w:pPr>
      <w:r w:rsidRPr="68A3C7B1">
        <w:rPr>
          <w:rFonts w:ascii="Arial" w:hAnsi="Arial" w:cs="Arial"/>
          <w:sz w:val="28"/>
          <w:szCs w:val="28"/>
        </w:rPr>
        <w:t xml:space="preserve">Thus, while the use of </w:t>
      </w:r>
      <w:r w:rsidR="17CE2E8C" w:rsidRPr="68A3C7B1">
        <w:rPr>
          <w:rFonts w:ascii="Arial" w:hAnsi="Arial" w:cs="Arial"/>
          <w:sz w:val="28"/>
          <w:szCs w:val="28"/>
        </w:rPr>
        <w:t>D</w:t>
      </w:r>
      <w:r w:rsidRPr="68A3C7B1">
        <w:rPr>
          <w:rFonts w:ascii="Arial" w:hAnsi="Arial" w:cs="Arial"/>
          <w:sz w:val="28"/>
          <w:szCs w:val="28"/>
        </w:rPr>
        <w:t>A</w:t>
      </w:r>
      <w:r w:rsidR="6E1622E7" w:rsidRPr="68A3C7B1">
        <w:rPr>
          <w:rFonts w:ascii="Arial" w:hAnsi="Arial" w:cs="Arial"/>
          <w:sz w:val="28"/>
          <w:szCs w:val="28"/>
        </w:rPr>
        <w:t>s</w:t>
      </w:r>
      <w:r w:rsidRPr="68A3C7B1">
        <w:rPr>
          <w:rFonts w:ascii="Arial" w:hAnsi="Arial" w:cs="Arial"/>
          <w:sz w:val="28"/>
          <w:szCs w:val="28"/>
        </w:rPr>
        <w:t xml:space="preserve"> can benefit both issuers and investors, their use and circulation </w:t>
      </w:r>
      <w:proofErr w:type="gramStart"/>
      <w:r w:rsidRPr="68A3C7B1">
        <w:rPr>
          <w:rFonts w:ascii="Arial" w:hAnsi="Arial" w:cs="Arial"/>
          <w:sz w:val="28"/>
          <w:szCs w:val="28"/>
        </w:rPr>
        <w:t>is</w:t>
      </w:r>
      <w:proofErr w:type="gramEnd"/>
      <w:r w:rsidRPr="68A3C7B1">
        <w:rPr>
          <w:rFonts w:ascii="Arial" w:hAnsi="Arial" w:cs="Arial"/>
          <w:sz w:val="28"/>
          <w:szCs w:val="28"/>
        </w:rPr>
        <w:t xml:space="preserve"> associated with a number of risks of possible harm to consumers, risks of using financial services for criminal purposes and damaging the financial stability not only of a particular jurisdiction, but also of the region as a whole. Due to </w:t>
      </w:r>
      <w:proofErr w:type="gramStart"/>
      <w:r w:rsidRPr="68A3C7B1">
        <w:rPr>
          <w:rFonts w:ascii="Arial" w:hAnsi="Arial" w:cs="Arial"/>
          <w:sz w:val="28"/>
          <w:szCs w:val="28"/>
        </w:rPr>
        <w:t>a number of</w:t>
      </w:r>
      <w:proofErr w:type="gramEnd"/>
      <w:r w:rsidRPr="68A3C7B1">
        <w:rPr>
          <w:rFonts w:ascii="Arial" w:hAnsi="Arial" w:cs="Arial"/>
          <w:sz w:val="28"/>
          <w:szCs w:val="28"/>
        </w:rPr>
        <w:t xml:space="preserve"> features, </w:t>
      </w:r>
      <w:r w:rsidR="17CE2E8C" w:rsidRPr="68A3C7B1">
        <w:rPr>
          <w:rFonts w:ascii="Arial" w:hAnsi="Arial" w:cs="Arial"/>
          <w:sz w:val="28"/>
          <w:szCs w:val="28"/>
        </w:rPr>
        <w:t>DA</w:t>
      </w:r>
      <w:r w:rsidR="1A615866" w:rsidRPr="68A3C7B1">
        <w:rPr>
          <w:rFonts w:ascii="Arial" w:hAnsi="Arial" w:cs="Arial"/>
          <w:sz w:val="28"/>
          <w:szCs w:val="28"/>
        </w:rPr>
        <w:t>s</w:t>
      </w:r>
      <w:r w:rsidRPr="68A3C7B1">
        <w:rPr>
          <w:rFonts w:ascii="Arial" w:hAnsi="Arial" w:cs="Arial"/>
          <w:sz w:val="28"/>
          <w:szCs w:val="28"/>
        </w:rPr>
        <w:t xml:space="preserve"> become vulnerable to their use by criminals for the purposes of money laundering and terrorist financing (ML/TF), as well as for the commission of other crimes. </w:t>
      </w:r>
    </w:p>
    <w:p w14:paraId="0C617219" w14:textId="24EC1597" w:rsidR="00A86DA8" w:rsidRPr="001570CD" w:rsidRDefault="00A86DA8" w:rsidP="003B475F">
      <w:pPr>
        <w:spacing w:line="360" w:lineRule="auto"/>
        <w:jc w:val="both"/>
        <w:rPr>
          <w:rFonts w:ascii="Arial" w:hAnsi="Arial" w:cs="Arial"/>
          <w:sz w:val="28"/>
          <w:szCs w:val="28"/>
        </w:rPr>
      </w:pPr>
      <w:r w:rsidRPr="00A86DA8">
        <w:rPr>
          <w:rFonts w:ascii="Arial" w:hAnsi="Arial" w:cs="Arial"/>
          <w:sz w:val="28"/>
          <w:szCs w:val="28"/>
        </w:rPr>
        <w:lastRenderedPageBreak/>
        <w:t xml:space="preserve">The ability to </w:t>
      </w:r>
      <w:r w:rsidR="00DB5DC6">
        <w:rPr>
          <w:rFonts w:ascii="Arial" w:hAnsi="Arial" w:cs="Arial"/>
          <w:sz w:val="28"/>
          <w:szCs w:val="28"/>
        </w:rPr>
        <w:t>conduct</w:t>
      </w:r>
      <w:r w:rsidRPr="00A86DA8">
        <w:rPr>
          <w:rFonts w:ascii="Arial" w:hAnsi="Arial" w:cs="Arial"/>
          <w:sz w:val="28"/>
          <w:szCs w:val="28"/>
        </w:rPr>
        <w:t xml:space="preserve"> rapid cross-border transactions allows criminals not only to acquire, move and store assets digitally, often outside the regulated financial system, but also to conceal the sender and recipient of funds, and make it difficult for report</w:t>
      </w:r>
      <w:r w:rsidR="00DB5DC6">
        <w:rPr>
          <w:rFonts w:ascii="Arial" w:hAnsi="Arial" w:cs="Arial"/>
          <w:sz w:val="28"/>
          <w:szCs w:val="28"/>
        </w:rPr>
        <w:t>ing persons</w:t>
      </w:r>
      <w:r w:rsidRPr="00A86DA8">
        <w:rPr>
          <w:rFonts w:ascii="Arial" w:hAnsi="Arial" w:cs="Arial"/>
          <w:sz w:val="28"/>
          <w:szCs w:val="28"/>
        </w:rPr>
        <w:t xml:space="preserve"> to identify suspicious activity in a timely manner. These and other factors create an increased risk environment for fintech.</w:t>
      </w:r>
    </w:p>
    <w:p w14:paraId="7B767FB3" w14:textId="255214E8" w:rsidR="00452E46" w:rsidRPr="007B3F28" w:rsidRDefault="67B4B7EC" w:rsidP="003B475F">
      <w:pPr>
        <w:spacing w:line="360" w:lineRule="auto"/>
        <w:jc w:val="both"/>
        <w:rPr>
          <w:rFonts w:ascii="Arial" w:hAnsi="Arial" w:cs="Arial"/>
          <w:sz w:val="28"/>
          <w:szCs w:val="28"/>
        </w:rPr>
      </w:pPr>
      <w:r w:rsidRPr="68A3C7B1">
        <w:rPr>
          <w:rFonts w:ascii="Arial" w:hAnsi="Arial" w:cs="Arial"/>
          <w:sz w:val="28"/>
          <w:szCs w:val="28"/>
        </w:rPr>
        <w:t>Pseudo-</w:t>
      </w:r>
      <w:r w:rsidR="5C21FBB3" w:rsidRPr="68A3C7B1">
        <w:rPr>
          <w:rFonts w:ascii="Arial" w:hAnsi="Arial" w:cs="Arial"/>
          <w:sz w:val="28"/>
          <w:szCs w:val="28"/>
        </w:rPr>
        <w:t>anonymity, lack of a central governing body (</w:t>
      </w:r>
      <w:r w:rsidR="3ACC53EE" w:rsidRPr="68A3C7B1">
        <w:rPr>
          <w:rFonts w:ascii="Arial" w:hAnsi="Arial" w:cs="Arial"/>
          <w:sz w:val="28"/>
          <w:szCs w:val="28"/>
        </w:rPr>
        <w:t>decentralization</w:t>
      </w:r>
      <w:r w:rsidR="5C21FBB3" w:rsidRPr="68A3C7B1">
        <w:rPr>
          <w:rFonts w:ascii="Arial" w:hAnsi="Arial" w:cs="Arial"/>
          <w:sz w:val="28"/>
          <w:szCs w:val="28"/>
        </w:rPr>
        <w:t xml:space="preserve">), cross-border nature of transactions, </w:t>
      </w:r>
      <w:r w:rsidRPr="68A3C7B1">
        <w:rPr>
          <w:rFonts w:ascii="Arial" w:hAnsi="Arial" w:cs="Arial"/>
          <w:sz w:val="28"/>
          <w:szCs w:val="28"/>
        </w:rPr>
        <w:t>widespread</w:t>
      </w:r>
      <w:r w:rsidR="5C21FBB3" w:rsidRPr="68A3C7B1">
        <w:rPr>
          <w:rFonts w:ascii="Arial" w:hAnsi="Arial" w:cs="Arial"/>
          <w:sz w:val="28"/>
          <w:szCs w:val="28"/>
        </w:rPr>
        <w:t xml:space="preserve"> and simplified access are factors that create an attractive environment for persons using such technologies and services for ML/TF purposes.</w:t>
      </w:r>
    </w:p>
    <w:p w14:paraId="0C0DE586" w14:textId="22C742E3" w:rsidR="00452E46" w:rsidRPr="007B3F28" w:rsidRDefault="00452E46" w:rsidP="003B475F">
      <w:pPr>
        <w:spacing w:line="360" w:lineRule="auto"/>
        <w:jc w:val="both"/>
        <w:rPr>
          <w:rFonts w:ascii="Arial" w:hAnsi="Arial" w:cs="Arial"/>
          <w:sz w:val="28"/>
          <w:szCs w:val="28"/>
        </w:rPr>
      </w:pPr>
      <w:r w:rsidRPr="00452E46">
        <w:rPr>
          <w:rFonts w:ascii="Arial" w:hAnsi="Arial" w:cs="Arial"/>
          <w:sz w:val="28"/>
          <w:szCs w:val="28"/>
        </w:rPr>
        <w:t xml:space="preserve">The possibility of using the </w:t>
      </w:r>
      <w:r w:rsidR="001F7AF7">
        <w:rPr>
          <w:rFonts w:ascii="Arial" w:hAnsi="Arial" w:cs="Arial"/>
          <w:sz w:val="28"/>
          <w:szCs w:val="28"/>
        </w:rPr>
        <w:t>DA</w:t>
      </w:r>
      <w:r w:rsidRPr="00452E46">
        <w:rPr>
          <w:rFonts w:ascii="Arial" w:hAnsi="Arial" w:cs="Arial"/>
          <w:sz w:val="28"/>
          <w:szCs w:val="28"/>
        </w:rPr>
        <w:t xml:space="preserve"> for ML/TF purposes creates certain conditions for the organization of the activities of digital asset service providers (</w:t>
      </w:r>
      <w:r w:rsidR="00DB5DC6">
        <w:rPr>
          <w:rFonts w:ascii="Arial" w:hAnsi="Arial" w:cs="Arial"/>
          <w:sz w:val="28"/>
          <w:szCs w:val="28"/>
        </w:rPr>
        <w:t>DASPs</w:t>
      </w:r>
      <w:r w:rsidRPr="00452E46">
        <w:rPr>
          <w:rFonts w:ascii="Arial" w:hAnsi="Arial" w:cs="Arial"/>
          <w:sz w:val="28"/>
          <w:szCs w:val="28"/>
        </w:rPr>
        <w:t>) in Kazakhstan.</w:t>
      </w:r>
    </w:p>
    <w:p w14:paraId="0C2B03F3" w14:textId="2E0D8586" w:rsidR="00452E46" w:rsidRPr="007B3F28" w:rsidRDefault="00452E46" w:rsidP="003B475F">
      <w:pPr>
        <w:spacing w:line="360" w:lineRule="auto"/>
        <w:jc w:val="both"/>
        <w:rPr>
          <w:rFonts w:ascii="Arial" w:hAnsi="Arial" w:cs="Arial"/>
          <w:sz w:val="28"/>
          <w:szCs w:val="28"/>
        </w:rPr>
      </w:pPr>
      <w:r w:rsidRPr="00452E46">
        <w:rPr>
          <w:rFonts w:ascii="Arial" w:hAnsi="Arial" w:cs="Arial"/>
          <w:sz w:val="28"/>
          <w:szCs w:val="28"/>
        </w:rPr>
        <w:t xml:space="preserve">A condition to operate as a </w:t>
      </w:r>
      <w:r w:rsidR="00DB5DC6">
        <w:rPr>
          <w:rFonts w:ascii="Arial" w:hAnsi="Arial" w:cs="Arial"/>
          <w:sz w:val="28"/>
          <w:szCs w:val="28"/>
        </w:rPr>
        <w:t>DASP</w:t>
      </w:r>
      <w:r w:rsidRPr="00452E46">
        <w:rPr>
          <w:rFonts w:ascii="Arial" w:hAnsi="Arial" w:cs="Arial"/>
          <w:sz w:val="28"/>
          <w:szCs w:val="28"/>
        </w:rPr>
        <w:t xml:space="preserve"> in Kazakhstan is to obtain a license from the Astana International Financial Centre (AIFC).</w:t>
      </w:r>
    </w:p>
    <w:p w14:paraId="5D5B61BD" w14:textId="20CE5DBC" w:rsidR="00852400" w:rsidRPr="007B3F28" w:rsidRDefault="00852400" w:rsidP="003B475F">
      <w:pPr>
        <w:spacing w:line="360" w:lineRule="auto"/>
        <w:jc w:val="both"/>
        <w:rPr>
          <w:rFonts w:ascii="Arial" w:hAnsi="Arial" w:cs="Arial"/>
          <w:sz w:val="28"/>
          <w:szCs w:val="28"/>
        </w:rPr>
      </w:pPr>
      <w:r w:rsidRPr="00852400">
        <w:rPr>
          <w:rFonts w:ascii="Arial" w:hAnsi="Arial" w:cs="Arial"/>
          <w:sz w:val="28"/>
          <w:szCs w:val="28"/>
        </w:rPr>
        <w:t>In accordance with the legislation of the AIFC,</w:t>
      </w:r>
      <w:r w:rsidR="00DB5DC6">
        <w:rPr>
          <w:rFonts w:ascii="Arial" w:hAnsi="Arial" w:cs="Arial"/>
          <w:sz w:val="28"/>
          <w:szCs w:val="28"/>
        </w:rPr>
        <w:t xml:space="preserve"> DASP</w:t>
      </w:r>
      <w:r w:rsidRPr="00852400">
        <w:rPr>
          <w:rFonts w:ascii="Arial" w:hAnsi="Arial" w:cs="Arial"/>
          <w:sz w:val="28"/>
          <w:szCs w:val="28"/>
        </w:rPr>
        <w:t xml:space="preserve">s are companies or organizations that offer services related to digital assets, such as exchanges, wallet providers, payment services in relation to </w:t>
      </w:r>
      <w:r w:rsidR="001F7AF7">
        <w:rPr>
          <w:rFonts w:ascii="Arial" w:hAnsi="Arial" w:cs="Arial"/>
          <w:sz w:val="28"/>
          <w:szCs w:val="28"/>
        </w:rPr>
        <w:t>DAs</w:t>
      </w:r>
      <w:r w:rsidRPr="00852400">
        <w:rPr>
          <w:rFonts w:ascii="Arial" w:hAnsi="Arial" w:cs="Arial"/>
          <w:sz w:val="28"/>
          <w:szCs w:val="28"/>
        </w:rPr>
        <w:t>.</w:t>
      </w:r>
    </w:p>
    <w:p w14:paraId="0C497BAD" w14:textId="24FD13BC" w:rsidR="00B00C87" w:rsidRPr="00ED368C" w:rsidRDefault="00816B50" w:rsidP="003B475F">
      <w:pPr>
        <w:spacing w:line="360" w:lineRule="auto"/>
        <w:jc w:val="both"/>
        <w:rPr>
          <w:rFonts w:ascii="Arial" w:hAnsi="Arial" w:cs="Arial"/>
          <w:sz w:val="28"/>
          <w:szCs w:val="28"/>
        </w:rPr>
      </w:pPr>
      <w:r w:rsidRPr="00ED368C">
        <w:rPr>
          <w:rFonts w:ascii="Arial" w:hAnsi="Arial" w:cs="Arial"/>
          <w:sz w:val="28"/>
          <w:szCs w:val="28"/>
        </w:rPr>
        <w:t xml:space="preserve">In the </w:t>
      </w:r>
      <w:r w:rsidR="004F6081" w:rsidRPr="00ED368C">
        <w:rPr>
          <w:rFonts w:ascii="Arial" w:hAnsi="Arial" w:cs="Arial"/>
          <w:sz w:val="28"/>
          <w:szCs w:val="28"/>
        </w:rPr>
        <w:t>Q1</w:t>
      </w:r>
      <w:r w:rsidRPr="00ED368C">
        <w:rPr>
          <w:rFonts w:ascii="Arial" w:hAnsi="Arial" w:cs="Arial"/>
          <w:sz w:val="28"/>
          <w:szCs w:val="28"/>
        </w:rPr>
        <w:t xml:space="preserve"> 2024, 13 </w:t>
      </w:r>
      <w:r w:rsidR="00DB5DC6" w:rsidRPr="00ED368C">
        <w:rPr>
          <w:rFonts w:ascii="Arial" w:hAnsi="Arial" w:cs="Arial"/>
          <w:sz w:val="28"/>
          <w:szCs w:val="28"/>
        </w:rPr>
        <w:t>DASP</w:t>
      </w:r>
      <w:r w:rsidRPr="00ED368C">
        <w:rPr>
          <w:rFonts w:ascii="Arial" w:hAnsi="Arial" w:cs="Arial"/>
          <w:sz w:val="28"/>
          <w:szCs w:val="28"/>
        </w:rPr>
        <w:t xml:space="preserve">s were registered in the regulatory sandbox of the </w:t>
      </w:r>
      <w:r w:rsidR="00DB5DC6" w:rsidRPr="00ED368C">
        <w:rPr>
          <w:rFonts w:ascii="Arial" w:hAnsi="Arial" w:cs="Arial"/>
          <w:sz w:val="28"/>
          <w:szCs w:val="28"/>
        </w:rPr>
        <w:t>AFSA</w:t>
      </w:r>
      <w:r w:rsidRPr="00ED368C">
        <w:rPr>
          <w:rFonts w:ascii="Arial" w:hAnsi="Arial" w:cs="Arial"/>
          <w:sz w:val="28"/>
          <w:szCs w:val="28"/>
        </w:rPr>
        <w:t>, of which:</w:t>
      </w:r>
    </w:p>
    <w:p w14:paraId="2A4CD0FC" w14:textId="610A283A" w:rsidR="0065694E" w:rsidRPr="00ED368C" w:rsidRDefault="00B00C87" w:rsidP="325BB2E9">
      <w:pPr>
        <w:pStyle w:val="ListParagraph"/>
        <w:numPr>
          <w:ilvl w:val="0"/>
          <w:numId w:val="16"/>
        </w:numPr>
        <w:spacing w:line="360" w:lineRule="auto"/>
        <w:jc w:val="both"/>
        <w:rPr>
          <w:rFonts w:ascii="Arial" w:hAnsi="Arial" w:cs="Arial"/>
          <w:sz w:val="28"/>
          <w:szCs w:val="28"/>
        </w:rPr>
      </w:pPr>
      <w:r w:rsidRPr="00ED368C">
        <w:rPr>
          <w:rFonts w:ascii="Arial" w:hAnsi="Arial" w:cs="Arial"/>
          <w:sz w:val="28"/>
          <w:szCs w:val="28"/>
        </w:rPr>
        <w:t>8 licenses for</w:t>
      </w:r>
      <w:r w:rsidR="008847BA" w:rsidRPr="00ED368C">
        <w:rPr>
          <w:rFonts w:ascii="Arial" w:hAnsi="Arial" w:cs="Arial"/>
          <w:sz w:val="28"/>
          <w:szCs w:val="28"/>
        </w:rPr>
        <w:t xml:space="preserve"> </w:t>
      </w:r>
      <w:r w:rsidR="00E91AC5" w:rsidRPr="00ED368C">
        <w:rPr>
          <w:rFonts w:ascii="Arial" w:hAnsi="Arial" w:cs="Arial"/>
          <w:sz w:val="28"/>
          <w:szCs w:val="28"/>
        </w:rPr>
        <w:t>O</w:t>
      </w:r>
      <w:r w:rsidR="008847BA" w:rsidRPr="00ED368C">
        <w:rPr>
          <w:rFonts w:ascii="Arial" w:hAnsi="Arial" w:cs="Arial"/>
          <w:sz w:val="28"/>
          <w:szCs w:val="28"/>
        </w:rPr>
        <w:t>perating a</w:t>
      </w:r>
      <w:r w:rsidRPr="00ED368C">
        <w:rPr>
          <w:rFonts w:ascii="Arial" w:hAnsi="Arial" w:cs="Arial"/>
          <w:sz w:val="28"/>
          <w:szCs w:val="28"/>
        </w:rPr>
        <w:t xml:space="preserve"> </w:t>
      </w:r>
      <w:r w:rsidR="00E91AC5" w:rsidRPr="00ED368C">
        <w:rPr>
          <w:rFonts w:ascii="Arial" w:hAnsi="Arial" w:cs="Arial"/>
          <w:sz w:val="28"/>
          <w:szCs w:val="28"/>
        </w:rPr>
        <w:t>D</w:t>
      </w:r>
      <w:r w:rsidR="000A1EE8" w:rsidRPr="00ED368C">
        <w:rPr>
          <w:rFonts w:ascii="Arial" w:hAnsi="Arial" w:cs="Arial"/>
          <w:sz w:val="28"/>
          <w:szCs w:val="28"/>
        </w:rPr>
        <w:t xml:space="preserve">igital </w:t>
      </w:r>
      <w:r w:rsidR="00E91AC5" w:rsidRPr="00ED368C">
        <w:rPr>
          <w:rFonts w:ascii="Arial" w:hAnsi="Arial" w:cs="Arial"/>
          <w:sz w:val="28"/>
          <w:szCs w:val="28"/>
        </w:rPr>
        <w:t>A</w:t>
      </w:r>
      <w:r w:rsidR="000A1EE8" w:rsidRPr="00ED368C">
        <w:rPr>
          <w:rFonts w:ascii="Arial" w:hAnsi="Arial" w:cs="Arial"/>
          <w:sz w:val="28"/>
          <w:szCs w:val="28"/>
        </w:rPr>
        <w:t xml:space="preserve">sset </w:t>
      </w:r>
      <w:r w:rsidR="00E91AC5" w:rsidRPr="00ED368C">
        <w:rPr>
          <w:rFonts w:ascii="Arial" w:hAnsi="Arial" w:cs="Arial"/>
          <w:sz w:val="28"/>
          <w:szCs w:val="28"/>
        </w:rPr>
        <w:t>T</w:t>
      </w:r>
      <w:r w:rsidR="000A1EE8" w:rsidRPr="00ED368C">
        <w:rPr>
          <w:rFonts w:ascii="Arial" w:hAnsi="Arial" w:cs="Arial"/>
          <w:sz w:val="28"/>
          <w:szCs w:val="28"/>
        </w:rPr>
        <w:t xml:space="preserve">rading </w:t>
      </w:r>
      <w:r w:rsidR="00E91AC5" w:rsidRPr="00ED368C">
        <w:rPr>
          <w:rFonts w:ascii="Arial" w:hAnsi="Arial" w:cs="Arial"/>
          <w:sz w:val="28"/>
          <w:szCs w:val="28"/>
        </w:rPr>
        <w:t>F</w:t>
      </w:r>
      <w:r w:rsidR="000A1EE8" w:rsidRPr="00ED368C">
        <w:rPr>
          <w:rFonts w:ascii="Arial" w:hAnsi="Arial" w:cs="Arial"/>
          <w:sz w:val="28"/>
          <w:szCs w:val="28"/>
        </w:rPr>
        <w:t>acility</w:t>
      </w:r>
      <w:r w:rsidRPr="00ED368C">
        <w:rPr>
          <w:rFonts w:ascii="Arial" w:hAnsi="Arial" w:cs="Arial"/>
          <w:sz w:val="28"/>
          <w:szCs w:val="28"/>
        </w:rPr>
        <w:t xml:space="preserve"> (</w:t>
      </w:r>
      <w:proofErr w:type="spellStart"/>
      <w:r w:rsidR="00A77F1D" w:rsidRPr="00ED368C">
        <w:rPr>
          <w:rFonts w:ascii="Arial" w:hAnsi="Arial" w:cs="Arial"/>
          <w:sz w:val="28"/>
          <w:szCs w:val="28"/>
        </w:rPr>
        <w:t>crypto</w:t>
      </w:r>
      <w:r w:rsidRPr="00ED368C">
        <w:rPr>
          <w:rFonts w:ascii="Arial" w:hAnsi="Arial" w:cs="Arial"/>
          <w:sz w:val="28"/>
          <w:szCs w:val="28"/>
        </w:rPr>
        <w:t>exchange</w:t>
      </w:r>
      <w:proofErr w:type="spellEnd"/>
      <w:proofErr w:type="gramStart"/>
      <w:r w:rsidRPr="00ED368C">
        <w:rPr>
          <w:rFonts w:ascii="Arial" w:hAnsi="Arial" w:cs="Arial"/>
          <w:sz w:val="28"/>
          <w:szCs w:val="28"/>
        </w:rPr>
        <w:t>);</w:t>
      </w:r>
      <w:proofErr w:type="gramEnd"/>
    </w:p>
    <w:p w14:paraId="18C9D808" w14:textId="2C3FD991" w:rsidR="003B475F" w:rsidRPr="00ED368C" w:rsidRDefault="00A27519" w:rsidP="003B475F">
      <w:pPr>
        <w:pStyle w:val="ListParagraph"/>
        <w:numPr>
          <w:ilvl w:val="0"/>
          <w:numId w:val="16"/>
        </w:numPr>
        <w:spacing w:line="360" w:lineRule="auto"/>
        <w:rPr>
          <w:rFonts w:ascii="Arial" w:hAnsi="Arial" w:cs="Arial"/>
          <w:sz w:val="28"/>
          <w:szCs w:val="28"/>
        </w:rPr>
      </w:pPr>
      <w:r w:rsidRPr="00ED368C">
        <w:rPr>
          <w:rFonts w:ascii="Arial" w:hAnsi="Arial" w:cs="Arial"/>
          <w:sz w:val="28"/>
          <w:szCs w:val="28"/>
        </w:rPr>
        <w:t xml:space="preserve">3 licenses for </w:t>
      </w:r>
      <w:r w:rsidR="00E91AC5" w:rsidRPr="00ED368C">
        <w:rPr>
          <w:rFonts w:ascii="Arial" w:hAnsi="Arial" w:cs="Arial"/>
          <w:sz w:val="28"/>
          <w:szCs w:val="28"/>
        </w:rPr>
        <w:t xml:space="preserve">Dealing in Investments as an Agent </w:t>
      </w:r>
      <w:r w:rsidRPr="00ED368C">
        <w:rPr>
          <w:rFonts w:ascii="Arial" w:hAnsi="Arial" w:cs="Arial"/>
          <w:sz w:val="28"/>
          <w:szCs w:val="28"/>
        </w:rPr>
        <w:t>(crypto broker</w:t>
      </w:r>
      <w:proofErr w:type="gramStart"/>
      <w:r w:rsidRPr="00ED368C">
        <w:rPr>
          <w:rFonts w:ascii="Arial" w:hAnsi="Arial" w:cs="Arial"/>
          <w:sz w:val="28"/>
          <w:szCs w:val="28"/>
        </w:rPr>
        <w:t>);</w:t>
      </w:r>
      <w:proofErr w:type="gramEnd"/>
      <w:r w:rsidRPr="00ED368C">
        <w:rPr>
          <w:rFonts w:ascii="Arial" w:hAnsi="Arial" w:cs="Arial"/>
          <w:sz w:val="28"/>
          <w:szCs w:val="28"/>
        </w:rPr>
        <w:t xml:space="preserve"> </w:t>
      </w:r>
    </w:p>
    <w:p w14:paraId="376ACC16" w14:textId="2E0B9A4A" w:rsidR="00E46487" w:rsidRPr="007B3F28" w:rsidRDefault="3BFF7E1F" w:rsidP="00E46487">
      <w:pPr>
        <w:pStyle w:val="ListParagraph"/>
        <w:numPr>
          <w:ilvl w:val="0"/>
          <w:numId w:val="16"/>
        </w:numPr>
        <w:spacing w:line="360" w:lineRule="auto"/>
        <w:jc w:val="both"/>
        <w:rPr>
          <w:rFonts w:ascii="Arial" w:hAnsi="Arial" w:cs="Arial"/>
          <w:sz w:val="28"/>
          <w:szCs w:val="28"/>
        </w:rPr>
      </w:pPr>
      <w:r w:rsidRPr="00ED368C">
        <w:rPr>
          <w:rFonts w:ascii="Arial" w:hAnsi="Arial" w:cs="Arial"/>
          <w:sz w:val="28"/>
          <w:szCs w:val="28"/>
        </w:rPr>
        <w:t xml:space="preserve">2 licenses for the </w:t>
      </w:r>
      <w:r w:rsidR="308EEE75" w:rsidRPr="00ED368C">
        <w:rPr>
          <w:rFonts w:ascii="Arial" w:hAnsi="Arial" w:cs="Arial"/>
          <w:sz w:val="28"/>
          <w:szCs w:val="28"/>
        </w:rPr>
        <w:t>Providing</w:t>
      </w:r>
      <w:r w:rsidR="308EEE75" w:rsidRPr="68A3C7B1">
        <w:rPr>
          <w:rFonts w:ascii="Arial" w:hAnsi="Arial" w:cs="Arial"/>
          <w:sz w:val="28"/>
          <w:szCs w:val="28"/>
        </w:rPr>
        <w:t xml:space="preserve"> Money Services</w:t>
      </w:r>
      <w:r w:rsidRPr="68A3C7B1">
        <w:rPr>
          <w:rFonts w:ascii="Arial" w:hAnsi="Arial" w:cs="Arial"/>
          <w:sz w:val="28"/>
          <w:szCs w:val="28"/>
        </w:rPr>
        <w:t xml:space="preserve"> </w:t>
      </w:r>
      <w:r w:rsidR="3DC10AB3" w:rsidRPr="68A3C7B1">
        <w:rPr>
          <w:rFonts w:ascii="Arial" w:hAnsi="Arial" w:cs="Arial"/>
          <w:sz w:val="28"/>
          <w:szCs w:val="28"/>
        </w:rPr>
        <w:t>in relation to</w:t>
      </w:r>
      <w:r w:rsidRPr="68A3C7B1">
        <w:rPr>
          <w:rFonts w:ascii="Arial" w:hAnsi="Arial" w:cs="Arial"/>
          <w:sz w:val="28"/>
          <w:szCs w:val="28"/>
        </w:rPr>
        <w:t xml:space="preserve"> </w:t>
      </w:r>
      <w:r w:rsidR="3DC10AB3" w:rsidRPr="68A3C7B1">
        <w:rPr>
          <w:rFonts w:ascii="Arial" w:hAnsi="Arial" w:cs="Arial"/>
          <w:sz w:val="28"/>
          <w:szCs w:val="28"/>
        </w:rPr>
        <w:t>D</w:t>
      </w:r>
      <w:r w:rsidRPr="68A3C7B1">
        <w:rPr>
          <w:rFonts w:ascii="Arial" w:hAnsi="Arial" w:cs="Arial"/>
          <w:sz w:val="28"/>
          <w:szCs w:val="28"/>
        </w:rPr>
        <w:t xml:space="preserve">igital </w:t>
      </w:r>
      <w:r w:rsidR="3DC10AB3" w:rsidRPr="68A3C7B1">
        <w:rPr>
          <w:rFonts w:ascii="Arial" w:hAnsi="Arial" w:cs="Arial"/>
          <w:sz w:val="28"/>
          <w:szCs w:val="28"/>
        </w:rPr>
        <w:t>A</w:t>
      </w:r>
      <w:r w:rsidRPr="68A3C7B1">
        <w:rPr>
          <w:rFonts w:ascii="Arial" w:hAnsi="Arial" w:cs="Arial"/>
          <w:sz w:val="28"/>
          <w:szCs w:val="28"/>
        </w:rPr>
        <w:t xml:space="preserve">ssets (payment services with the </w:t>
      </w:r>
      <w:r w:rsidR="67B4B7EC" w:rsidRPr="68A3C7B1">
        <w:rPr>
          <w:rFonts w:ascii="Arial" w:hAnsi="Arial" w:cs="Arial"/>
          <w:sz w:val="28"/>
          <w:szCs w:val="28"/>
        </w:rPr>
        <w:t>DA</w:t>
      </w:r>
      <w:r w:rsidRPr="68A3C7B1">
        <w:rPr>
          <w:rFonts w:ascii="Arial" w:hAnsi="Arial" w:cs="Arial"/>
          <w:sz w:val="28"/>
          <w:szCs w:val="28"/>
        </w:rPr>
        <w:t>)</w:t>
      </w:r>
      <w:r w:rsidR="00714CDE">
        <w:rPr>
          <w:rFonts w:ascii="Arial" w:hAnsi="Arial" w:cs="Arial"/>
          <w:sz w:val="28"/>
          <w:szCs w:val="28"/>
        </w:rPr>
        <w:t>.</w:t>
      </w:r>
    </w:p>
    <w:p w14:paraId="2BA6FFB0" w14:textId="77777777" w:rsidR="008F14DE" w:rsidRPr="007B3F28" w:rsidRDefault="00FE2C40" w:rsidP="003B475F">
      <w:pPr>
        <w:spacing w:line="360" w:lineRule="auto"/>
        <w:jc w:val="both"/>
        <w:rPr>
          <w:rFonts w:ascii="Arial" w:hAnsi="Arial" w:cs="Arial"/>
          <w:sz w:val="28"/>
          <w:szCs w:val="28"/>
        </w:rPr>
      </w:pPr>
      <w:r w:rsidRPr="30C7BF06">
        <w:rPr>
          <w:rFonts w:ascii="Arial" w:hAnsi="Arial" w:cs="Arial"/>
          <w:sz w:val="28"/>
          <w:szCs w:val="28"/>
        </w:rPr>
        <w:t>It should be noted that 2 companies (</w:t>
      </w:r>
      <w:proofErr w:type="spellStart"/>
      <w:r w:rsidRPr="30C7BF06">
        <w:rPr>
          <w:rFonts w:ascii="Arial" w:hAnsi="Arial" w:cs="Arial"/>
          <w:sz w:val="28"/>
          <w:szCs w:val="28"/>
        </w:rPr>
        <w:t>Xignal&amp;MT</w:t>
      </w:r>
      <w:proofErr w:type="spellEnd"/>
      <w:r w:rsidRPr="30C7BF06">
        <w:rPr>
          <w:rFonts w:ascii="Arial" w:hAnsi="Arial" w:cs="Arial"/>
          <w:sz w:val="28"/>
          <w:szCs w:val="28"/>
        </w:rPr>
        <w:t xml:space="preserve"> Ltd. and HWGC KZ Limited) out of 13 are inactive due to the suspension of the license.</w:t>
      </w:r>
    </w:p>
    <w:p w14:paraId="04DCAC9A" w14:textId="5854EEE1" w:rsidR="00047401" w:rsidRPr="007B3F28" w:rsidRDefault="000E3083" w:rsidP="003B475F">
      <w:pPr>
        <w:spacing w:line="360" w:lineRule="auto"/>
        <w:jc w:val="both"/>
        <w:rPr>
          <w:rFonts w:ascii="Arial" w:hAnsi="Arial" w:cs="Arial"/>
          <w:sz w:val="28"/>
          <w:szCs w:val="28"/>
        </w:rPr>
      </w:pPr>
      <w:proofErr w:type="spellStart"/>
      <w:r w:rsidRPr="00ED368C">
        <w:rPr>
          <w:rFonts w:ascii="Arial" w:hAnsi="Arial" w:cs="Arial"/>
          <w:sz w:val="28"/>
          <w:szCs w:val="28"/>
        </w:rPr>
        <w:lastRenderedPageBreak/>
        <w:t>Cryptoexchanges</w:t>
      </w:r>
      <w:proofErr w:type="spellEnd"/>
      <w:r w:rsidRPr="00ED368C">
        <w:rPr>
          <w:rFonts w:ascii="Arial" w:hAnsi="Arial" w:cs="Arial"/>
          <w:sz w:val="28"/>
          <w:szCs w:val="28"/>
        </w:rPr>
        <w:t xml:space="preserve"> were the predominant activity among licensed DASPs a</w:t>
      </w:r>
      <w:r w:rsidR="006812CD" w:rsidRPr="00ED368C">
        <w:rPr>
          <w:rFonts w:ascii="Arial" w:hAnsi="Arial" w:cs="Arial"/>
          <w:sz w:val="28"/>
          <w:szCs w:val="28"/>
        </w:rPr>
        <w:t xml:space="preserve">t the end of the 1st quarter of 2024 in the </w:t>
      </w:r>
      <w:r w:rsidRPr="00ED368C">
        <w:rPr>
          <w:rFonts w:ascii="Arial" w:hAnsi="Arial" w:cs="Arial"/>
          <w:sz w:val="28"/>
          <w:szCs w:val="28"/>
        </w:rPr>
        <w:t>digital asset sector of AIFC</w:t>
      </w:r>
      <w:r w:rsidRPr="00ED368C" w:rsidDel="000E3083">
        <w:rPr>
          <w:rFonts w:ascii="Arial" w:hAnsi="Arial" w:cs="Arial"/>
          <w:sz w:val="28"/>
          <w:szCs w:val="28"/>
        </w:rPr>
        <w:t xml:space="preserve"> </w:t>
      </w:r>
      <w:r w:rsidR="006812CD" w:rsidRPr="00ED368C">
        <w:rPr>
          <w:rFonts w:ascii="Arial" w:hAnsi="Arial" w:cs="Arial"/>
          <w:sz w:val="28"/>
          <w:szCs w:val="28"/>
        </w:rPr>
        <w:t xml:space="preserve">(see Fig. 1), which is 62% of all AIFC </w:t>
      </w:r>
      <w:r w:rsidR="00DB5DC6" w:rsidRPr="00ED368C">
        <w:rPr>
          <w:rFonts w:ascii="Arial" w:hAnsi="Arial" w:cs="Arial"/>
          <w:sz w:val="28"/>
          <w:szCs w:val="28"/>
        </w:rPr>
        <w:t>DASP</w:t>
      </w:r>
      <w:r w:rsidR="006812CD" w:rsidRPr="00ED368C">
        <w:rPr>
          <w:rFonts w:ascii="Arial" w:hAnsi="Arial" w:cs="Arial"/>
          <w:sz w:val="28"/>
          <w:szCs w:val="28"/>
        </w:rPr>
        <w:t>s.</w:t>
      </w:r>
    </w:p>
    <w:p w14:paraId="7E1E8482" w14:textId="4637A518" w:rsidR="008B1F4F" w:rsidRPr="007B3F28" w:rsidRDefault="237CE53B" w:rsidP="68A3C7B1">
      <w:pPr>
        <w:pStyle w:val="ListParagraph"/>
        <w:spacing w:line="360" w:lineRule="auto"/>
        <w:ind w:left="0"/>
        <w:jc w:val="both"/>
        <w:rPr>
          <w:rFonts w:ascii="Arial" w:hAnsi="Arial" w:cs="Arial"/>
          <w:i/>
          <w:iCs/>
          <w:sz w:val="20"/>
          <w:szCs w:val="20"/>
          <w:u w:val="single"/>
        </w:rPr>
      </w:pPr>
      <w:r w:rsidRPr="68A3C7B1">
        <w:rPr>
          <w:rFonts w:ascii="Arial" w:hAnsi="Arial" w:cs="Arial"/>
          <w:i/>
          <w:iCs/>
          <w:sz w:val="20"/>
          <w:szCs w:val="20"/>
          <w:u w:val="single"/>
        </w:rPr>
        <w:t xml:space="preserve">Figure 1. Breakdown of </w:t>
      </w:r>
      <w:r w:rsidR="67B4B7EC" w:rsidRPr="68A3C7B1">
        <w:rPr>
          <w:rFonts w:ascii="Arial" w:hAnsi="Arial" w:cs="Arial"/>
          <w:i/>
          <w:iCs/>
          <w:sz w:val="20"/>
          <w:szCs w:val="20"/>
          <w:u w:val="single"/>
        </w:rPr>
        <w:t>DASPs</w:t>
      </w:r>
      <w:r w:rsidRPr="68A3C7B1">
        <w:rPr>
          <w:rFonts w:ascii="Arial" w:hAnsi="Arial" w:cs="Arial"/>
          <w:i/>
          <w:iCs/>
          <w:sz w:val="20"/>
          <w:szCs w:val="20"/>
          <w:u w:val="single"/>
        </w:rPr>
        <w:t xml:space="preserve"> by type of activity</w:t>
      </w:r>
    </w:p>
    <w:p w14:paraId="571B2E2C" w14:textId="2805A97E" w:rsidR="006812CD" w:rsidRDefault="42C02BA9" w:rsidP="001570CD">
      <w:pPr>
        <w:spacing w:line="360" w:lineRule="auto"/>
        <w:jc w:val="both"/>
      </w:pPr>
      <w:r>
        <w:rPr>
          <w:noProof/>
        </w:rPr>
        <w:drawing>
          <wp:inline distT="0" distB="0" distL="0" distR="0" wp14:anchorId="31106592" wp14:editId="054AC8A1">
            <wp:extent cx="5938346" cy="3602596"/>
            <wp:effectExtent l="0" t="0" r="0" b="0"/>
            <wp:docPr id="384890685" name="Picture 38489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38346" cy="3602596"/>
                    </a:xfrm>
                    <a:prstGeom prst="rect">
                      <a:avLst/>
                    </a:prstGeom>
                  </pic:spPr>
                </pic:pic>
              </a:graphicData>
            </a:graphic>
          </wp:inline>
        </w:drawing>
      </w:r>
    </w:p>
    <w:p w14:paraId="5369D654" w14:textId="1A82823C" w:rsidR="00581A2A" w:rsidRPr="00581A2A" w:rsidRDefault="7DE195BF" w:rsidP="003B475F">
      <w:pPr>
        <w:spacing w:line="360" w:lineRule="auto"/>
        <w:jc w:val="both"/>
        <w:rPr>
          <w:rFonts w:ascii="Arial" w:hAnsi="Arial" w:cs="Arial"/>
          <w:sz w:val="28"/>
          <w:szCs w:val="28"/>
          <w:lang w:val="ru-RU"/>
        </w:rPr>
      </w:pPr>
      <w:r w:rsidRPr="00ED368C">
        <w:rPr>
          <w:rFonts w:ascii="Arial" w:hAnsi="Arial" w:cs="Arial"/>
          <w:sz w:val="28"/>
          <w:szCs w:val="28"/>
        </w:rPr>
        <w:t xml:space="preserve">List of active </w:t>
      </w:r>
      <w:r w:rsidR="00DB5DC6" w:rsidRPr="00ED368C">
        <w:rPr>
          <w:rFonts w:ascii="Arial" w:hAnsi="Arial" w:cs="Arial"/>
          <w:sz w:val="28"/>
          <w:szCs w:val="28"/>
        </w:rPr>
        <w:t>DASP</w:t>
      </w:r>
      <w:r w:rsidRPr="00ED368C">
        <w:rPr>
          <w:rFonts w:ascii="Arial" w:hAnsi="Arial" w:cs="Arial"/>
          <w:sz w:val="28"/>
          <w:szCs w:val="28"/>
        </w:rPr>
        <w: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2"/>
        <w:gridCol w:w="2062"/>
        <w:gridCol w:w="4215"/>
        <w:gridCol w:w="2701"/>
      </w:tblGrid>
      <w:tr w:rsidR="1F8A40BA" w14:paraId="2BDA25DC" w14:textId="77777777" w:rsidTr="68A3C7B1">
        <w:trPr>
          <w:trHeight w:val="300"/>
        </w:trPr>
        <w:tc>
          <w:tcPr>
            <w:tcW w:w="472" w:type="dxa"/>
            <w:tcMar>
              <w:left w:w="105" w:type="dxa"/>
              <w:right w:w="105" w:type="dxa"/>
            </w:tcMar>
          </w:tcPr>
          <w:p w14:paraId="2F80A1F6" w14:textId="47A56F06"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b/>
                <w:bCs/>
                <w:color w:val="000000" w:themeColor="text1"/>
                <w:sz w:val="24"/>
                <w:szCs w:val="24"/>
              </w:rPr>
              <w:t>№</w:t>
            </w:r>
          </w:p>
        </w:tc>
        <w:tc>
          <w:tcPr>
            <w:tcW w:w="2062" w:type="dxa"/>
            <w:tcMar>
              <w:left w:w="105" w:type="dxa"/>
              <w:right w:w="105" w:type="dxa"/>
            </w:tcMar>
          </w:tcPr>
          <w:p w14:paraId="665F2FBE" w14:textId="41C21AB8" w:rsidR="1F8A40BA" w:rsidRDefault="0083152B" w:rsidP="003B475F">
            <w:pPr>
              <w:spacing w:after="16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DASP </w:t>
            </w:r>
            <w:r w:rsidR="00A831D6">
              <w:rPr>
                <w:rFonts w:ascii="Times New Roman" w:eastAsia="Times New Roman" w:hAnsi="Times New Roman" w:cs="Times New Roman"/>
                <w:b/>
                <w:bCs/>
                <w:color w:val="000000" w:themeColor="text1"/>
                <w:sz w:val="24"/>
                <w:szCs w:val="24"/>
              </w:rPr>
              <w:t>n</w:t>
            </w:r>
            <w:r w:rsidR="1F8A40BA" w:rsidRPr="1F8A40BA">
              <w:rPr>
                <w:rFonts w:ascii="Times New Roman" w:eastAsia="Times New Roman" w:hAnsi="Times New Roman" w:cs="Times New Roman"/>
                <w:b/>
                <w:bCs/>
                <w:color w:val="000000" w:themeColor="text1"/>
                <w:sz w:val="24"/>
                <w:szCs w:val="24"/>
              </w:rPr>
              <w:t>ame</w:t>
            </w:r>
          </w:p>
        </w:tc>
        <w:tc>
          <w:tcPr>
            <w:tcW w:w="4215" w:type="dxa"/>
            <w:tcMar>
              <w:left w:w="105" w:type="dxa"/>
              <w:right w:w="105" w:type="dxa"/>
            </w:tcMar>
          </w:tcPr>
          <w:p w14:paraId="061ACEDF" w14:textId="074FE14B" w:rsidR="1F8A40BA" w:rsidRPr="003B475F" w:rsidRDefault="00DA3489" w:rsidP="003B475F">
            <w:pPr>
              <w:spacing w:after="160" w:line="36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b/>
                <w:bCs/>
                <w:color w:val="000000" w:themeColor="text1"/>
                <w:sz w:val="24"/>
                <w:szCs w:val="24"/>
              </w:rPr>
              <w:t>License name</w:t>
            </w:r>
          </w:p>
        </w:tc>
        <w:tc>
          <w:tcPr>
            <w:tcW w:w="2701" w:type="dxa"/>
            <w:tcMar>
              <w:left w:w="105" w:type="dxa"/>
              <w:right w:w="105" w:type="dxa"/>
            </w:tcMar>
          </w:tcPr>
          <w:p w14:paraId="09BE694F" w14:textId="6AD41985" w:rsidR="1F8A40BA" w:rsidRPr="003B475F" w:rsidRDefault="00D70BBB" w:rsidP="003B475F">
            <w:pPr>
              <w:spacing w:after="160" w:line="36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b/>
                <w:bCs/>
                <w:color w:val="000000" w:themeColor="text1"/>
                <w:sz w:val="24"/>
                <w:szCs w:val="24"/>
              </w:rPr>
              <w:t xml:space="preserve">License </w:t>
            </w:r>
            <w:r w:rsidR="006E037C">
              <w:rPr>
                <w:rFonts w:ascii="Times New Roman" w:eastAsia="Times New Roman" w:hAnsi="Times New Roman" w:cs="Times New Roman"/>
                <w:b/>
                <w:bCs/>
                <w:color w:val="000000" w:themeColor="text1"/>
                <w:sz w:val="24"/>
                <w:szCs w:val="24"/>
              </w:rPr>
              <w:t>active since</w:t>
            </w:r>
          </w:p>
        </w:tc>
      </w:tr>
      <w:tr w:rsidR="1F8A40BA" w14:paraId="3C137AF4" w14:textId="77777777" w:rsidTr="68A3C7B1">
        <w:trPr>
          <w:trHeight w:val="300"/>
        </w:trPr>
        <w:tc>
          <w:tcPr>
            <w:tcW w:w="472" w:type="dxa"/>
            <w:tcMar>
              <w:left w:w="105" w:type="dxa"/>
              <w:right w:w="105" w:type="dxa"/>
            </w:tcMar>
          </w:tcPr>
          <w:p w14:paraId="077A4E17" w14:textId="4AF800CE"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1</w:t>
            </w:r>
          </w:p>
        </w:tc>
        <w:tc>
          <w:tcPr>
            <w:tcW w:w="2062" w:type="dxa"/>
            <w:tcMar>
              <w:left w:w="105" w:type="dxa"/>
              <w:right w:w="105" w:type="dxa"/>
            </w:tcMar>
          </w:tcPr>
          <w:p w14:paraId="3BC78D19" w14:textId="123EA9E3" w:rsidR="1F8A40BA" w:rsidRDefault="1F8A40BA" w:rsidP="003B475F">
            <w:pPr>
              <w:spacing w:after="160" w:line="360" w:lineRule="auto"/>
              <w:rPr>
                <w:rFonts w:ascii="Times New Roman" w:eastAsia="Times New Roman" w:hAnsi="Times New Roman" w:cs="Times New Roman"/>
                <w:color w:val="000000" w:themeColor="text1"/>
                <w:sz w:val="24"/>
                <w:szCs w:val="24"/>
              </w:rPr>
            </w:pPr>
            <w:proofErr w:type="spellStart"/>
            <w:r w:rsidRPr="1F8A40BA">
              <w:rPr>
                <w:rFonts w:ascii="Times New Roman" w:eastAsia="Times New Roman" w:hAnsi="Times New Roman" w:cs="Times New Roman"/>
                <w:color w:val="000000" w:themeColor="text1"/>
                <w:sz w:val="24"/>
                <w:szCs w:val="24"/>
              </w:rPr>
              <w:t>Ataix</w:t>
            </w:r>
            <w:proofErr w:type="spellEnd"/>
            <w:r w:rsidRPr="1F8A40BA">
              <w:rPr>
                <w:rFonts w:ascii="Times New Roman" w:eastAsia="Times New Roman" w:hAnsi="Times New Roman" w:cs="Times New Roman"/>
                <w:color w:val="000000" w:themeColor="text1"/>
                <w:sz w:val="24"/>
                <w:szCs w:val="24"/>
              </w:rPr>
              <w:t xml:space="preserve"> Eurasia Ltd.</w:t>
            </w:r>
          </w:p>
        </w:tc>
        <w:tc>
          <w:tcPr>
            <w:tcW w:w="4215" w:type="dxa"/>
            <w:tcMar>
              <w:left w:w="105" w:type="dxa"/>
              <w:right w:w="105" w:type="dxa"/>
            </w:tcMar>
          </w:tcPr>
          <w:p w14:paraId="1842CF2F" w14:textId="13268C26"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 xml:space="preserve">AFSA-G-LA-2022-0001 </w:t>
            </w:r>
          </w:p>
          <w:p w14:paraId="3A8E93EE" w14:textId="1C8FE6A1" w:rsidR="1F8A40BA" w:rsidRPr="007B3F28" w:rsidRDefault="04AE6841" w:rsidP="00A835B7">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27161973" w:rsidRPr="68A3C7B1">
              <w:rPr>
                <w:rFonts w:ascii="Times New Roman" w:eastAsia="Times New Roman" w:hAnsi="Times New Roman" w:cs="Times New Roman"/>
                <w:color w:val="000000" w:themeColor="text1"/>
                <w:sz w:val="24"/>
                <w:szCs w:val="24"/>
              </w:rPr>
              <w:t xml:space="preserve"> Providing Custody</w:t>
            </w:r>
          </w:p>
          <w:p w14:paraId="0BA94B24" w14:textId="3FF0A00A"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0F62E6">
              <w:rPr>
                <w:rFonts w:ascii="Times New Roman" w:eastAsia="Times New Roman" w:hAnsi="Times New Roman" w:cs="Times New Roman"/>
                <w:color w:val="000000" w:themeColor="text1"/>
                <w:sz w:val="24"/>
                <w:szCs w:val="24"/>
              </w:rPr>
              <w:t xml:space="preserve">2) </w:t>
            </w:r>
            <w:r w:rsidRPr="1F8A40BA">
              <w:rPr>
                <w:rFonts w:ascii="Times New Roman" w:eastAsia="Times New Roman" w:hAnsi="Times New Roman" w:cs="Times New Roman"/>
                <w:i/>
                <w:iCs/>
                <w:color w:val="000000" w:themeColor="text1"/>
                <w:sz w:val="24"/>
                <w:szCs w:val="24"/>
              </w:rPr>
              <w:t>AFSA</w:t>
            </w:r>
            <w:r w:rsidRPr="000F62E6">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0F62E6">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0F62E6">
              <w:rPr>
                <w:rFonts w:ascii="Times New Roman" w:eastAsia="Times New Roman" w:hAnsi="Times New Roman" w:cs="Times New Roman"/>
                <w:i/>
                <w:color w:val="000000" w:themeColor="text1"/>
                <w:sz w:val="24"/>
                <w:szCs w:val="24"/>
              </w:rPr>
              <w:t xml:space="preserve">-2022-0002 </w:t>
            </w:r>
          </w:p>
          <w:p w14:paraId="3EF83AD9" w14:textId="224D7467" w:rsidR="1F8A40BA" w:rsidRPr="007B3F28" w:rsidRDefault="04AE6841" w:rsidP="00A835B7">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60FF24A4" w:rsidRPr="68A3C7B1">
              <w:rPr>
                <w:rFonts w:ascii="Times New Roman" w:eastAsia="Times New Roman" w:hAnsi="Times New Roman" w:cs="Times New Roman"/>
                <w:color w:val="000000" w:themeColor="text1"/>
                <w:sz w:val="24"/>
                <w:szCs w:val="24"/>
              </w:rPr>
              <w:t xml:space="preserve"> Operating a Digital Asset Trading Facility</w:t>
            </w:r>
          </w:p>
        </w:tc>
        <w:tc>
          <w:tcPr>
            <w:tcW w:w="2701" w:type="dxa"/>
            <w:tcMar>
              <w:left w:w="105" w:type="dxa"/>
              <w:right w:w="105" w:type="dxa"/>
            </w:tcMar>
          </w:tcPr>
          <w:p w14:paraId="69C754C1" w14:textId="154B586E"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07-04-2022</w:t>
            </w:r>
          </w:p>
        </w:tc>
      </w:tr>
      <w:tr w:rsidR="1F8A40BA" w14:paraId="524CD08B" w14:textId="77777777" w:rsidTr="68A3C7B1">
        <w:trPr>
          <w:trHeight w:val="300"/>
        </w:trPr>
        <w:tc>
          <w:tcPr>
            <w:tcW w:w="472" w:type="dxa"/>
            <w:tcMar>
              <w:left w:w="105" w:type="dxa"/>
              <w:right w:w="105" w:type="dxa"/>
            </w:tcMar>
          </w:tcPr>
          <w:p w14:paraId="365B2625" w14:textId="529BC326"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2</w:t>
            </w:r>
          </w:p>
        </w:tc>
        <w:tc>
          <w:tcPr>
            <w:tcW w:w="2062" w:type="dxa"/>
            <w:tcMar>
              <w:left w:w="105" w:type="dxa"/>
              <w:right w:w="105" w:type="dxa"/>
            </w:tcMar>
          </w:tcPr>
          <w:p w14:paraId="078AA1C8" w14:textId="79ED6C4E"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BN KZ Technologies Limited</w:t>
            </w:r>
          </w:p>
        </w:tc>
        <w:tc>
          <w:tcPr>
            <w:tcW w:w="4215" w:type="dxa"/>
            <w:tcMar>
              <w:left w:w="105" w:type="dxa"/>
              <w:right w:w="105" w:type="dxa"/>
            </w:tcMar>
          </w:tcPr>
          <w:p w14:paraId="7F156FE9" w14:textId="27C33506"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 xml:space="preserve">AFSA-G-LA-2022-0008 </w:t>
            </w:r>
          </w:p>
          <w:p w14:paraId="0E49084E" w14:textId="7367E51B"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176E3C6A" w:rsidRPr="68A3C7B1">
              <w:rPr>
                <w:rFonts w:ascii="Times New Roman" w:eastAsia="Times New Roman" w:hAnsi="Times New Roman" w:cs="Times New Roman"/>
                <w:color w:val="000000" w:themeColor="text1"/>
                <w:sz w:val="24"/>
                <w:szCs w:val="24"/>
              </w:rPr>
              <w:t xml:space="preserve"> Providing Custody</w:t>
            </w:r>
          </w:p>
          <w:p w14:paraId="2E07445E" w14:textId="2FB7571B"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2)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-2022-0009 </w:t>
            </w:r>
          </w:p>
          <w:p w14:paraId="58FDB0CE" w14:textId="4985A8B3"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449FE216" w:rsidRPr="68A3C7B1">
              <w:rPr>
                <w:rFonts w:ascii="Times New Roman" w:eastAsia="Times New Roman" w:hAnsi="Times New Roman" w:cs="Times New Roman"/>
                <w:color w:val="000000" w:themeColor="text1"/>
                <w:sz w:val="24"/>
                <w:szCs w:val="24"/>
              </w:rPr>
              <w:t xml:space="preserve"> Operating a Digital Asset Trading Facility </w:t>
            </w:r>
          </w:p>
        </w:tc>
        <w:tc>
          <w:tcPr>
            <w:tcW w:w="2701" w:type="dxa"/>
            <w:tcMar>
              <w:left w:w="105" w:type="dxa"/>
              <w:right w:w="105" w:type="dxa"/>
            </w:tcMar>
          </w:tcPr>
          <w:p w14:paraId="60CE6FB0" w14:textId="43C93444"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29-09-2022</w:t>
            </w:r>
          </w:p>
        </w:tc>
      </w:tr>
      <w:tr w:rsidR="1F8A40BA" w14:paraId="06E2E1D2" w14:textId="77777777" w:rsidTr="68A3C7B1">
        <w:trPr>
          <w:trHeight w:val="300"/>
        </w:trPr>
        <w:tc>
          <w:tcPr>
            <w:tcW w:w="472" w:type="dxa"/>
            <w:tcMar>
              <w:left w:w="105" w:type="dxa"/>
              <w:right w:w="105" w:type="dxa"/>
            </w:tcMar>
          </w:tcPr>
          <w:p w14:paraId="05C81BB4" w14:textId="4FD6E19F"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lastRenderedPageBreak/>
              <w:t>3</w:t>
            </w:r>
          </w:p>
        </w:tc>
        <w:tc>
          <w:tcPr>
            <w:tcW w:w="2062" w:type="dxa"/>
            <w:tcMar>
              <w:left w:w="105" w:type="dxa"/>
              <w:right w:w="105" w:type="dxa"/>
            </w:tcMar>
          </w:tcPr>
          <w:p w14:paraId="0A7F6179" w14:textId="2BEBBB11" w:rsidR="1F8A40BA" w:rsidRDefault="1F8A40BA" w:rsidP="003B475F">
            <w:pPr>
              <w:spacing w:after="160" w:line="360" w:lineRule="auto"/>
              <w:rPr>
                <w:rFonts w:ascii="Times New Roman" w:eastAsia="Times New Roman" w:hAnsi="Times New Roman" w:cs="Times New Roman"/>
                <w:color w:val="000000" w:themeColor="text1"/>
                <w:sz w:val="24"/>
                <w:szCs w:val="24"/>
              </w:rPr>
            </w:pPr>
            <w:proofErr w:type="spellStart"/>
            <w:r w:rsidRPr="1F8A40BA">
              <w:rPr>
                <w:rFonts w:ascii="Times New Roman" w:eastAsia="Times New Roman" w:hAnsi="Times New Roman" w:cs="Times New Roman"/>
                <w:color w:val="000000" w:themeColor="text1"/>
                <w:sz w:val="24"/>
                <w:szCs w:val="24"/>
              </w:rPr>
              <w:t>Biteeu</w:t>
            </w:r>
            <w:proofErr w:type="spellEnd"/>
            <w:r w:rsidRPr="1F8A40BA">
              <w:rPr>
                <w:rFonts w:ascii="Times New Roman" w:eastAsia="Times New Roman" w:hAnsi="Times New Roman" w:cs="Times New Roman"/>
                <w:color w:val="000000" w:themeColor="text1"/>
                <w:sz w:val="24"/>
                <w:szCs w:val="24"/>
              </w:rPr>
              <w:t xml:space="preserve"> Eurasia Ltd.</w:t>
            </w:r>
          </w:p>
        </w:tc>
        <w:tc>
          <w:tcPr>
            <w:tcW w:w="4215" w:type="dxa"/>
            <w:tcMar>
              <w:left w:w="105" w:type="dxa"/>
              <w:right w:w="105" w:type="dxa"/>
            </w:tcMar>
          </w:tcPr>
          <w:p w14:paraId="62FE287B" w14:textId="03F48521"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 xml:space="preserve">AFSA-G-LA-2022-0003 </w:t>
            </w:r>
          </w:p>
          <w:p w14:paraId="3DD96EBE" w14:textId="3EC156A4" w:rsidR="04AE6841"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0F0FAAE0" w:rsidRPr="68A3C7B1">
              <w:rPr>
                <w:rFonts w:ascii="Times New Roman" w:eastAsia="Times New Roman" w:hAnsi="Times New Roman" w:cs="Times New Roman"/>
                <w:color w:val="000000" w:themeColor="text1"/>
                <w:sz w:val="24"/>
                <w:szCs w:val="24"/>
              </w:rPr>
              <w:t xml:space="preserve"> Providing Custody</w:t>
            </w:r>
          </w:p>
          <w:p w14:paraId="4AB5B13D" w14:textId="2937BECF"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2)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-2022-0004 </w:t>
            </w:r>
          </w:p>
          <w:p w14:paraId="5412056B" w14:textId="5C5BE3E9"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56FF9FFA" w:rsidRPr="68A3C7B1">
              <w:rPr>
                <w:rFonts w:ascii="Times New Roman" w:eastAsia="Times New Roman" w:hAnsi="Times New Roman" w:cs="Times New Roman"/>
                <w:color w:val="000000" w:themeColor="text1"/>
                <w:sz w:val="24"/>
                <w:szCs w:val="24"/>
              </w:rPr>
              <w:t xml:space="preserve"> Operating a Digital Asset Trading Facility</w:t>
            </w:r>
          </w:p>
        </w:tc>
        <w:tc>
          <w:tcPr>
            <w:tcW w:w="2701" w:type="dxa"/>
            <w:tcMar>
              <w:left w:w="105" w:type="dxa"/>
              <w:right w:w="105" w:type="dxa"/>
            </w:tcMar>
          </w:tcPr>
          <w:p w14:paraId="2EEC1FB3" w14:textId="00C35801"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03-05-2022</w:t>
            </w:r>
          </w:p>
        </w:tc>
      </w:tr>
      <w:tr w:rsidR="1F8A40BA" w14:paraId="3981FCDA" w14:textId="77777777" w:rsidTr="68A3C7B1">
        <w:trPr>
          <w:trHeight w:val="300"/>
        </w:trPr>
        <w:tc>
          <w:tcPr>
            <w:tcW w:w="472" w:type="dxa"/>
            <w:tcMar>
              <w:left w:w="105" w:type="dxa"/>
              <w:right w:w="105" w:type="dxa"/>
            </w:tcMar>
          </w:tcPr>
          <w:p w14:paraId="00259D6B" w14:textId="7C9B2E53"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4</w:t>
            </w:r>
          </w:p>
        </w:tc>
        <w:tc>
          <w:tcPr>
            <w:tcW w:w="2062" w:type="dxa"/>
            <w:tcMar>
              <w:left w:w="105" w:type="dxa"/>
              <w:right w:w="105" w:type="dxa"/>
            </w:tcMar>
          </w:tcPr>
          <w:p w14:paraId="3273AEA3" w14:textId="3B15A40A"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Top Line Limited</w:t>
            </w:r>
          </w:p>
        </w:tc>
        <w:tc>
          <w:tcPr>
            <w:tcW w:w="4215" w:type="dxa"/>
            <w:tcMar>
              <w:left w:w="105" w:type="dxa"/>
              <w:right w:w="105" w:type="dxa"/>
            </w:tcMar>
          </w:tcPr>
          <w:p w14:paraId="319630AE" w14:textId="3C6B297A"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 xml:space="preserve">AFSA-G-LA-2022-0010 </w:t>
            </w:r>
          </w:p>
          <w:p w14:paraId="612B6548" w14:textId="22533E4C"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52105617" w:rsidRPr="68A3C7B1">
              <w:rPr>
                <w:rFonts w:ascii="Times New Roman" w:eastAsia="Times New Roman" w:hAnsi="Times New Roman" w:cs="Times New Roman"/>
                <w:color w:val="000000" w:themeColor="text1"/>
                <w:sz w:val="24"/>
                <w:szCs w:val="24"/>
              </w:rPr>
              <w:t xml:space="preserve"> Providing Custody</w:t>
            </w:r>
          </w:p>
          <w:p w14:paraId="4B552590" w14:textId="4C05ED39"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2)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-2022-0011 </w:t>
            </w:r>
          </w:p>
          <w:p w14:paraId="5FCB8DCC" w14:textId="7CA3DBE7"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1A362136" w:rsidRPr="68A3C7B1">
              <w:rPr>
                <w:rFonts w:ascii="Times New Roman" w:eastAsia="Times New Roman" w:hAnsi="Times New Roman" w:cs="Times New Roman"/>
                <w:color w:val="000000" w:themeColor="text1"/>
                <w:sz w:val="24"/>
                <w:szCs w:val="24"/>
              </w:rPr>
              <w:t xml:space="preserve"> Operating a Digital Asset Trading Facility</w:t>
            </w:r>
          </w:p>
        </w:tc>
        <w:tc>
          <w:tcPr>
            <w:tcW w:w="2701" w:type="dxa"/>
            <w:tcMar>
              <w:left w:w="105" w:type="dxa"/>
              <w:right w:w="105" w:type="dxa"/>
            </w:tcMar>
          </w:tcPr>
          <w:p w14:paraId="6EA222F8" w14:textId="47FA5A65"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27-10-2022</w:t>
            </w:r>
          </w:p>
        </w:tc>
      </w:tr>
      <w:tr w:rsidR="1F8A40BA" w14:paraId="121F0B5B" w14:textId="77777777" w:rsidTr="68A3C7B1">
        <w:trPr>
          <w:trHeight w:val="300"/>
        </w:trPr>
        <w:tc>
          <w:tcPr>
            <w:tcW w:w="472" w:type="dxa"/>
            <w:tcMar>
              <w:left w:w="105" w:type="dxa"/>
              <w:right w:w="105" w:type="dxa"/>
            </w:tcMar>
          </w:tcPr>
          <w:p w14:paraId="293222AC" w14:textId="5E9EC8EE"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5</w:t>
            </w:r>
          </w:p>
        </w:tc>
        <w:tc>
          <w:tcPr>
            <w:tcW w:w="2062" w:type="dxa"/>
            <w:tcMar>
              <w:left w:w="105" w:type="dxa"/>
              <w:right w:w="105" w:type="dxa"/>
            </w:tcMar>
          </w:tcPr>
          <w:p w14:paraId="00B3D684" w14:textId="3EB09E17"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Delta DA Ltd.</w:t>
            </w:r>
          </w:p>
        </w:tc>
        <w:tc>
          <w:tcPr>
            <w:tcW w:w="4215" w:type="dxa"/>
            <w:tcMar>
              <w:left w:w="105" w:type="dxa"/>
              <w:right w:w="105" w:type="dxa"/>
            </w:tcMar>
          </w:tcPr>
          <w:p w14:paraId="391A3AF1" w14:textId="7AA5DFFA"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 xml:space="preserve">AFSA-G-LA-2021-0018 </w:t>
            </w:r>
          </w:p>
          <w:p w14:paraId="0630F47B" w14:textId="6C4EBDD7"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0B0D5AA3" w:rsidRPr="68A3C7B1">
              <w:rPr>
                <w:rFonts w:ascii="Times New Roman" w:eastAsia="Times New Roman" w:hAnsi="Times New Roman" w:cs="Times New Roman"/>
                <w:color w:val="000000" w:themeColor="text1"/>
                <w:sz w:val="24"/>
                <w:szCs w:val="24"/>
              </w:rPr>
              <w:t xml:space="preserve"> Providing Custody</w:t>
            </w:r>
          </w:p>
          <w:p w14:paraId="0D8C6A3C" w14:textId="241A80A3"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2)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-2021-0009 </w:t>
            </w:r>
          </w:p>
          <w:p w14:paraId="54FC05A3" w14:textId="4C1FD2DB"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122D27E1" w:rsidRPr="68A3C7B1">
              <w:rPr>
                <w:rFonts w:ascii="Times New Roman" w:eastAsia="Times New Roman" w:hAnsi="Times New Roman" w:cs="Times New Roman"/>
                <w:color w:val="000000" w:themeColor="text1"/>
                <w:sz w:val="24"/>
                <w:szCs w:val="24"/>
              </w:rPr>
              <w:t xml:space="preserve"> Operating a Digital Asset Trading Facility</w:t>
            </w:r>
          </w:p>
        </w:tc>
        <w:tc>
          <w:tcPr>
            <w:tcW w:w="2701" w:type="dxa"/>
            <w:tcMar>
              <w:left w:w="105" w:type="dxa"/>
              <w:right w:w="105" w:type="dxa"/>
            </w:tcMar>
          </w:tcPr>
          <w:p w14:paraId="0151F5F4" w14:textId="0BC72E04"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13-07-2021</w:t>
            </w:r>
          </w:p>
        </w:tc>
      </w:tr>
      <w:tr w:rsidR="1F8A40BA" w14:paraId="4DED1FCD" w14:textId="77777777" w:rsidTr="68A3C7B1">
        <w:trPr>
          <w:trHeight w:val="300"/>
        </w:trPr>
        <w:tc>
          <w:tcPr>
            <w:tcW w:w="472" w:type="dxa"/>
            <w:tcMar>
              <w:left w:w="105" w:type="dxa"/>
              <w:right w:w="105" w:type="dxa"/>
            </w:tcMar>
          </w:tcPr>
          <w:p w14:paraId="6E5C9AAA" w14:textId="2C4BEC4D"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6</w:t>
            </w:r>
          </w:p>
        </w:tc>
        <w:tc>
          <w:tcPr>
            <w:tcW w:w="2062" w:type="dxa"/>
            <w:tcMar>
              <w:left w:w="105" w:type="dxa"/>
              <w:right w:w="105" w:type="dxa"/>
            </w:tcMar>
          </w:tcPr>
          <w:p w14:paraId="7E31617F" w14:textId="5F89C8BF" w:rsidR="1F8A40BA" w:rsidRDefault="1F8A40BA" w:rsidP="003B475F">
            <w:pPr>
              <w:spacing w:after="160" w:line="360" w:lineRule="auto"/>
              <w:rPr>
                <w:rFonts w:ascii="Times New Roman" w:eastAsia="Times New Roman" w:hAnsi="Times New Roman" w:cs="Times New Roman"/>
                <w:color w:val="000000" w:themeColor="text1"/>
                <w:sz w:val="24"/>
                <w:szCs w:val="24"/>
              </w:rPr>
            </w:pPr>
            <w:proofErr w:type="spellStart"/>
            <w:r w:rsidRPr="1F8A40BA">
              <w:rPr>
                <w:rFonts w:ascii="Times New Roman" w:eastAsia="Times New Roman" w:hAnsi="Times New Roman" w:cs="Times New Roman"/>
                <w:color w:val="000000" w:themeColor="text1"/>
                <w:sz w:val="24"/>
                <w:szCs w:val="24"/>
              </w:rPr>
              <w:t>Bigone</w:t>
            </w:r>
            <w:proofErr w:type="spellEnd"/>
            <w:r w:rsidRPr="1F8A40BA">
              <w:rPr>
                <w:rFonts w:ascii="Times New Roman" w:eastAsia="Times New Roman" w:hAnsi="Times New Roman" w:cs="Times New Roman"/>
                <w:color w:val="000000" w:themeColor="text1"/>
                <w:sz w:val="24"/>
                <w:szCs w:val="24"/>
              </w:rPr>
              <w:t xml:space="preserve"> Investment Ltd.</w:t>
            </w:r>
          </w:p>
        </w:tc>
        <w:tc>
          <w:tcPr>
            <w:tcW w:w="4215" w:type="dxa"/>
            <w:tcMar>
              <w:left w:w="105" w:type="dxa"/>
              <w:right w:w="105" w:type="dxa"/>
            </w:tcMar>
          </w:tcPr>
          <w:p w14:paraId="4E5D87ED" w14:textId="78AEFA4D"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 xml:space="preserve">AFSA-G-LA-2023-0008 </w:t>
            </w:r>
          </w:p>
          <w:p w14:paraId="14544B5B" w14:textId="575B0279"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3B820386" w:rsidRPr="68A3C7B1">
              <w:rPr>
                <w:rFonts w:ascii="Times New Roman" w:eastAsia="Times New Roman" w:hAnsi="Times New Roman" w:cs="Times New Roman"/>
                <w:color w:val="000000" w:themeColor="text1"/>
                <w:sz w:val="24"/>
                <w:szCs w:val="24"/>
              </w:rPr>
              <w:t xml:space="preserve"> Providing Custody</w:t>
            </w:r>
          </w:p>
          <w:p w14:paraId="0A2B6A24" w14:textId="3E70DB65"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2)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-2023-0009 </w:t>
            </w:r>
          </w:p>
          <w:p w14:paraId="3634D43C" w14:textId="7051B6EB"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0090051D" w:rsidRPr="68A3C7B1">
              <w:rPr>
                <w:rFonts w:ascii="Times New Roman" w:eastAsia="Times New Roman" w:hAnsi="Times New Roman" w:cs="Times New Roman"/>
                <w:color w:val="000000" w:themeColor="text1"/>
                <w:sz w:val="24"/>
                <w:szCs w:val="24"/>
              </w:rPr>
              <w:t xml:space="preserve"> Operating a Digital Asset Trading Facility</w:t>
            </w:r>
          </w:p>
        </w:tc>
        <w:tc>
          <w:tcPr>
            <w:tcW w:w="2701" w:type="dxa"/>
            <w:tcMar>
              <w:left w:w="105" w:type="dxa"/>
              <w:right w:w="105" w:type="dxa"/>
            </w:tcMar>
          </w:tcPr>
          <w:p w14:paraId="732CA0D5" w14:textId="655ACF25"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09-11-2023</w:t>
            </w:r>
          </w:p>
        </w:tc>
      </w:tr>
      <w:tr w:rsidR="1F8A40BA" w14:paraId="26E793F2" w14:textId="77777777" w:rsidTr="68A3C7B1">
        <w:trPr>
          <w:trHeight w:val="300"/>
        </w:trPr>
        <w:tc>
          <w:tcPr>
            <w:tcW w:w="472" w:type="dxa"/>
            <w:tcMar>
              <w:left w:w="105" w:type="dxa"/>
              <w:right w:w="105" w:type="dxa"/>
            </w:tcMar>
          </w:tcPr>
          <w:p w14:paraId="3791019E" w14:textId="75DA9733"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7</w:t>
            </w:r>
          </w:p>
        </w:tc>
        <w:tc>
          <w:tcPr>
            <w:tcW w:w="2062" w:type="dxa"/>
            <w:tcMar>
              <w:left w:w="105" w:type="dxa"/>
              <w:right w:w="105" w:type="dxa"/>
            </w:tcMar>
          </w:tcPr>
          <w:p w14:paraId="73EBDCF7" w14:textId="40F6677F" w:rsidR="1F8A40BA" w:rsidRDefault="1F8A40BA" w:rsidP="003B475F">
            <w:pPr>
              <w:spacing w:after="160" w:line="360" w:lineRule="auto"/>
              <w:rPr>
                <w:rFonts w:ascii="Times New Roman" w:eastAsia="Times New Roman" w:hAnsi="Times New Roman" w:cs="Times New Roman"/>
                <w:color w:val="000000" w:themeColor="text1"/>
                <w:sz w:val="24"/>
                <w:szCs w:val="24"/>
              </w:rPr>
            </w:pPr>
            <w:proofErr w:type="spellStart"/>
            <w:r w:rsidRPr="1F8A40BA">
              <w:rPr>
                <w:rFonts w:ascii="Times New Roman" w:eastAsia="Times New Roman" w:hAnsi="Times New Roman" w:cs="Times New Roman"/>
                <w:color w:val="000000" w:themeColor="text1"/>
                <w:sz w:val="24"/>
                <w:szCs w:val="24"/>
              </w:rPr>
              <w:t>Bybit</w:t>
            </w:r>
            <w:proofErr w:type="spellEnd"/>
            <w:r w:rsidRPr="1F8A40BA">
              <w:rPr>
                <w:rFonts w:ascii="Times New Roman" w:eastAsia="Times New Roman" w:hAnsi="Times New Roman" w:cs="Times New Roman"/>
                <w:color w:val="000000" w:themeColor="text1"/>
                <w:sz w:val="24"/>
                <w:szCs w:val="24"/>
              </w:rPr>
              <w:t xml:space="preserve"> Limited</w:t>
            </w:r>
          </w:p>
        </w:tc>
        <w:tc>
          <w:tcPr>
            <w:tcW w:w="4215" w:type="dxa"/>
            <w:tcMar>
              <w:left w:w="105" w:type="dxa"/>
              <w:right w:w="105" w:type="dxa"/>
            </w:tcMar>
          </w:tcPr>
          <w:p w14:paraId="4E93FECF" w14:textId="4EAF2701"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 xml:space="preserve">AFSA-G-LA-2023-0003 </w:t>
            </w:r>
          </w:p>
          <w:p w14:paraId="47B8CDB1" w14:textId="5ABBBBF2"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14161009" w:rsidRPr="68A3C7B1">
              <w:rPr>
                <w:rFonts w:ascii="Times New Roman" w:eastAsia="Times New Roman" w:hAnsi="Times New Roman" w:cs="Times New Roman"/>
                <w:color w:val="000000" w:themeColor="text1"/>
                <w:sz w:val="24"/>
                <w:szCs w:val="24"/>
              </w:rPr>
              <w:t xml:space="preserve"> Providing Custody</w:t>
            </w:r>
          </w:p>
          <w:p w14:paraId="61A2ED7A" w14:textId="5E882D0A"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2)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-2023-0004 </w:t>
            </w:r>
          </w:p>
          <w:p w14:paraId="2D61456B" w14:textId="60B68F71" w:rsidR="1F8A40BA" w:rsidRPr="007B3F28" w:rsidRDefault="04AE6841" w:rsidP="68A3C7B1">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 </w:t>
            </w:r>
            <w:r w:rsidR="73615D2C" w:rsidRPr="68A3C7B1">
              <w:rPr>
                <w:rFonts w:ascii="Times New Roman" w:eastAsia="Times New Roman" w:hAnsi="Times New Roman" w:cs="Times New Roman"/>
                <w:color w:val="000000" w:themeColor="text1"/>
                <w:sz w:val="24"/>
                <w:szCs w:val="24"/>
              </w:rPr>
              <w:t xml:space="preserve"> Operating a Digital Asset Trading Facility</w:t>
            </w:r>
          </w:p>
        </w:tc>
        <w:tc>
          <w:tcPr>
            <w:tcW w:w="2701" w:type="dxa"/>
            <w:tcMar>
              <w:left w:w="105" w:type="dxa"/>
              <w:right w:w="105" w:type="dxa"/>
            </w:tcMar>
          </w:tcPr>
          <w:p w14:paraId="354F1B1C" w14:textId="2F1161D2"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07-06-2023</w:t>
            </w:r>
          </w:p>
        </w:tc>
      </w:tr>
      <w:tr w:rsidR="1F8A40BA" w14:paraId="4CFC7250" w14:textId="77777777" w:rsidTr="68A3C7B1">
        <w:trPr>
          <w:trHeight w:val="300"/>
        </w:trPr>
        <w:tc>
          <w:tcPr>
            <w:tcW w:w="472" w:type="dxa"/>
            <w:tcMar>
              <w:left w:w="105" w:type="dxa"/>
              <w:right w:w="105" w:type="dxa"/>
            </w:tcMar>
          </w:tcPr>
          <w:p w14:paraId="2C562FDD" w14:textId="5492811F"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8</w:t>
            </w:r>
          </w:p>
        </w:tc>
        <w:tc>
          <w:tcPr>
            <w:tcW w:w="2062" w:type="dxa"/>
            <w:tcMar>
              <w:left w:w="105" w:type="dxa"/>
              <w:right w:w="105" w:type="dxa"/>
            </w:tcMar>
          </w:tcPr>
          <w:p w14:paraId="565D24E5" w14:textId="58413A5D" w:rsidR="1F8A40BA" w:rsidRDefault="1F8A40BA" w:rsidP="003B475F">
            <w:pPr>
              <w:spacing w:after="160" w:line="360" w:lineRule="auto"/>
              <w:rPr>
                <w:rFonts w:ascii="Times New Roman" w:eastAsia="Times New Roman" w:hAnsi="Times New Roman" w:cs="Times New Roman"/>
                <w:color w:val="000000" w:themeColor="text1"/>
                <w:sz w:val="24"/>
                <w:szCs w:val="24"/>
              </w:rPr>
            </w:pPr>
            <w:proofErr w:type="spellStart"/>
            <w:r w:rsidRPr="1F8A40BA">
              <w:rPr>
                <w:rFonts w:ascii="Times New Roman" w:eastAsia="Times New Roman" w:hAnsi="Times New Roman" w:cs="Times New Roman"/>
                <w:color w:val="000000" w:themeColor="text1"/>
                <w:sz w:val="24"/>
                <w:szCs w:val="24"/>
              </w:rPr>
              <w:t>SkyBridge</w:t>
            </w:r>
            <w:proofErr w:type="spellEnd"/>
            <w:r w:rsidRPr="1F8A40BA">
              <w:rPr>
                <w:rFonts w:ascii="Times New Roman" w:eastAsia="Times New Roman" w:hAnsi="Times New Roman" w:cs="Times New Roman"/>
                <w:color w:val="000000" w:themeColor="text1"/>
                <w:sz w:val="24"/>
                <w:szCs w:val="24"/>
              </w:rPr>
              <w:t xml:space="preserve"> Digital Finance Ltd.</w:t>
            </w:r>
          </w:p>
        </w:tc>
        <w:tc>
          <w:tcPr>
            <w:tcW w:w="4215" w:type="dxa"/>
            <w:tcMar>
              <w:left w:w="105" w:type="dxa"/>
              <w:right w:w="105" w:type="dxa"/>
            </w:tcMar>
          </w:tcPr>
          <w:p w14:paraId="43CB9B59" w14:textId="50FFD8D7" w:rsidR="1F8A40BA" w:rsidRPr="007B3F28" w:rsidRDefault="04AE6841" w:rsidP="00A835B7">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 xml:space="preserve">1) </w:t>
            </w:r>
            <w:r w:rsidRPr="68A3C7B1">
              <w:rPr>
                <w:rFonts w:ascii="Times New Roman" w:eastAsia="Times New Roman" w:hAnsi="Times New Roman" w:cs="Times New Roman"/>
                <w:i/>
                <w:iCs/>
                <w:color w:val="000000" w:themeColor="text1"/>
                <w:sz w:val="24"/>
                <w:szCs w:val="24"/>
              </w:rPr>
              <w:t xml:space="preserve">AFSA-G-LA-2023-0006 </w:t>
            </w:r>
          </w:p>
          <w:p w14:paraId="52F79E92" w14:textId="237CDA81" w:rsidR="17142999" w:rsidRDefault="17142999" w:rsidP="68A3C7B1">
            <w:pPr>
              <w:spacing w:after="120" w:line="360" w:lineRule="auto"/>
              <w:rPr>
                <w:rFonts w:ascii="Times New Roman" w:eastAsia="Times New Roman" w:hAnsi="Times New Roman" w:cs="Times New Roman"/>
                <w:color w:val="000000" w:themeColor="text1"/>
                <w:sz w:val="24"/>
                <w:szCs w:val="24"/>
                <w:highlight w:val="yellow"/>
              </w:rPr>
            </w:pPr>
            <w:r w:rsidRPr="00ED368C">
              <w:rPr>
                <w:rFonts w:ascii="Times New Roman" w:eastAsia="Times New Roman" w:hAnsi="Times New Roman" w:cs="Times New Roman"/>
                <w:color w:val="000000" w:themeColor="text1"/>
                <w:sz w:val="24"/>
                <w:szCs w:val="24"/>
              </w:rPr>
              <w:t>-Dealing in Investments as Agent</w:t>
            </w:r>
            <w:r w:rsidRPr="00ED368C">
              <w:br/>
            </w:r>
            <w:r w:rsidRPr="00ED368C">
              <w:rPr>
                <w:rFonts w:ascii="Times New Roman" w:eastAsia="Times New Roman" w:hAnsi="Times New Roman" w:cs="Times New Roman"/>
                <w:color w:val="000000" w:themeColor="text1"/>
                <w:sz w:val="24"/>
                <w:szCs w:val="24"/>
              </w:rPr>
              <w:t>-Advising on Investments</w:t>
            </w:r>
            <w:r w:rsidRPr="00ED368C">
              <w:br/>
            </w:r>
            <w:r w:rsidRPr="00ED368C">
              <w:rPr>
                <w:rFonts w:ascii="Times New Roman" w:eastAsia="Times New Roman" w:hAnsi="Times New Roman" w:cs="Times New Roman"/>
                <w:color w:val="000000" w:themeColor="text1"/>
                <w:sz w:val="24"/>
                <w:szCs w:val="24"/>
              </w:rPr>
              <w:lastRenderedPageBreak/>
              <w:t>-Arranging Deals in Investments</w:t>
            </w:r>
            <w:r w:rsidRPr="00ED368C">
              <w:br/>
            </w:r>
            <w:r w:rsidRPr="00ED368C">
              <w:rPr>
                <w:rFonts w:ascii="Times New Roman" w:eastAsia="Times New Roman" w:hAnsi="Times New Roman" w:cs="Times New Roman"/>
                <w:color w:val="000000" w:themeColor="text1"/>
                <w:sz w:val="24"/>
                <w:szCs w:val="24"/>
              </w:rPr>
              <w:t>-Dealing in Investments as Principal (as a matched principal)</w:t>
            </w:r>
            <w:r w:rsidRPr="00ED368C">
              <w:br/>
            </w:r>
            <w:r w:rsidRPr="00ED368C">
              <w:rPr>
                <w:rFonts w:ascii="Times New Roman" w:eastAsia="Times New Roman" w:hAnsi="Times New Roman" w:cs="Times New Roman"/>
                <w:color w:val="000000" w:themeColor="text1"/>
                <w:sz w:val="24"/>
                <w:szCs w:val="24"/>
              </w:rPr>
              <w:t>-Managing Investments</w:t>
            </w:r>
            <w:r w:rsidRPr="00ED368C">
              <w:br/>
            </w:r>
            <w:r w:rsidRPr="00ED368C">
              <w:rPr>
                <w:rFonts w:ascii="Times New Roman" w:eastAsia="Times New Roman" w:hAnsi="Times New Roman" w:cs="Times New Roman"/>
                <w:color w:val="000000" w:themeColor="text1"/>
                <w:sz w:val="24"/>
                <w:szCs w:val="24"/>
              </w:rPr>
              <w:t>-Managing a Collective Investment Scheme</w:t>
            </w:r>
          </w:p>
          <w:p w14:paraId="6A6B0630" w14:textId="3513ED50"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p>
        </w:tc>
        <w:tc>
          <w:tcPr>
            <w:tcW w:w="2701" w:type="dxa"/>
            <w:tcMar>
              <w:left w:w="105" w:type="dxa"/>
              <w:right w:w="105" w:type="dxa"/>
            </w:tcMar>
          </w:tcPr>
          <w:p w14:paraId="28DA2527" w14:textId="29F5E592"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lastRenderedPageBreak/>
              <w:t>18-10-2023</w:t>
            </w:r>
          </w:p>
        </w:tc>
      </w:tr>
      <w:tr w:rsidR="1F8A40BA" w14:paraId="44D6915E" w14:textId="77777777" w:rsidTr="68A3C7B1">
        <w:trPr>
          <w:trHeight w:val="300"/>
        </w:trPr>
        <w:tc>
          <w:tcPr>
            <w:tcW w:w="472" w:type="dxa"/>
            <w:tcMar>
              <w:left w:w="105" w:type="dxa"/>
              <w:right w:w="105" w:type="dxa"/>
            </w:tcMar>
          </w:tcPr>
          <w:p w14:paraId="593AE9D9" w14:textId="07C2A5B4"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9</w:t>
            </w:r>
          </w:p>
        </w:tc>
        <w:tc>
          <w:tcPr>
            <w:tcW w:w="2062" w:type="dxa"/>
            <w:tcMar>
              <w:left w:w="105" w:type="dxa"/>
              <w:right w:w="105" w:type="dxa"/>
            </w:tcMar>
          </w:tcPr>
          <w:p w14:paraId="35051C4C" w14:textId="14968C19" w:rsidR="1F8A40BA" w:rsidRDefault="1F8A40BA" w:rsidP="003B475F">
            <w:pPr>
              <w:spacing w:after="160" w:line="360" w:lineRule="auto"/>
              <w:rPr>
                <w:rFonts w:ascii="Times New Roman" w:eastAsia="Times New Roman" w:hAnsi="Times New Roman" w:cs="Times New Roman"/>
                <w:color w:val="000000" w:themeColor="text1"/>
                <w:sz w:val="24"/>
                <w:szCs w:val="24"/>
              </w:rPr>
            </w:pPr>
            <w:proofErr w:type="spellStart"/>
            <w:r w:rsidRPr="1F8A40BA">
              <w:rPr>
                <w:rFonts w:ascii="Times New Roman" w:eastAsia="Times New Roman" w:hAnsi="Times New Roman" w:cs="Times New Roman"/>
                <w:color w:val="000000" w:themeColor="text1"/>
                <w:sz w:val="24"/>
                <w:szCs w:val="24"/>
              </w:rPr>
              <w:t>Paidax</w:t>
            </w:r>
            <w:proofErr w:type="spellEnd"/>
            <w:r w:rsidRPr="1F8A40BA">
              <w:rPr>
                <w:rFonts w:ascii="Times New Roman" w:eastAsia="Times New Roman" w:hAnsi="Times New Roman" w:cs="Times New Roman"/>
                <w:color w:val="000000" w:themeColor="text1"/>
                <w:sz w:val="24"/>
                <w:szCs w:val="24"/>
              </w:rPr>
              <w:t xml:space="preserve"> Limited</w:t>
            </w:r>
          </w:p>
        </w:tc>
        <w:tc>
          <w:tcPr>
            <w:tcW w:w="4215" w:type="dxa"/>
            <w:tcMar>
              <w:left w:w="105" w:type="dxa"/>
              <w:right w:w="105" w:type="dxa"/>
            </w:tcMar>
          </w:tcPr>
          <w:p w14:paraId="41D16C15" w14:textId="4202769F"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-2023-0007 </w:t>
            </w:r>
          </w:p>
          <w:p w14:paraId="5B53447A" w14:textId="24E6F3DA" w:rsidR="1F8A40BA" w:rsidRPr="007B3F28" w:rsidRDefault="502790B8" w:rsidP="00A835B7">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-Dealing in Investments as Agent</w:t>
            </w:r>
            <w:r w:rsidR="1F8A40BA">
              <w:br/>
            </w:r>
            <w:r w:rsidRPr="68A3C7B1">
              <w:rPr>
                <w:rFonts w:ascii="Times New Roman" w:eastAsia="Times New Roman" w:hAnsi="Times New Roman" w:cs="Times New Roman"/>
                <w:color w:val="000000" w:themeColor="text1"/>
                <w:sz w:val="24"/>
                <w:szCs w:val="24"/>
              </w:rPr>
              <w:t>-Dealing in Investments as Principal (as a matched principal)</w:t>
            </w:r>
          </w:p>
        </w:tc>
        <w:tc>
          <w:tcPr>
            <w:tcW w:w="2701" w:type="dxa"/>
            <w:tcMar>
              <w:left w:w="105" w:type="dxa"/>
              <w:right w:w="105" w:type="dxa"/>
            </w:tcMar>
          </w:tcPr>
          <w:p w14:paraId="7661C4B8" w14:textId="18E6FE5B"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07-11-2023</w:t>
            </w:r>
          </w:p>
        </w:tc>
      </w:tr>
      <w:tr w:rsidR="1F8A40BA" w14:paraId="516B3EB2" w14:textId="77777777" w:rsidTr="68A3C7B1">
        <w:trPr>
          <w:trHeight w:val="300"/>
        </w:trPr>
        <w:tc>
          <w:tcPr>
            <w:tcW w:w="472" w:type="dxa"/>
            <w:tcMar>
              <w:left w:w="105" w:type="dxa"/>
              <w:right w:w="105" w:type="dxa"/>
            </w:tcMar>
          </w:tcPr>
          <w:p w14:paraId="5CFA300E" w14:textId="25C5DB23"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10</w:t>
            </w:r>
          </w:p>
        </w:tc>
        <w:tc>
          <w:tcPr>
            <w:tcW w:w="2062" w:type="dxa"/>
            <w:tcMar>
              <w:left w:w="105" w:type="dxa"/>
              <w:right w:w="105" w:type="dxa"/>
            </w:tcMar>
          </w:tcPr>
          <w:p w14:paraId="0C5336D4" w14:textId="63AE8E91" w:rsidR="1F8A40BA" w:rsidRDefault="1F8A40BA" w:rsidP="003B475F">
            <w:pPr>
              <w:spacing w:after="160" w:line="360" w:lineRule="auto"/>
              <w:rPr>
                <w:rFonts w:ascii="Times New Roman" w:eastAsia="Times New Roman" w:hAnsi="Times New Roman" w:cs="Times New Roman"/>
                <w:color w:val="000000" w:themeColor="text1"/>
                <w:sz w:val="24"/>
                <w:szCs w:val="24"/>
              </w:rPr>
            </w:pPr>
            <w:proofErr w:type="spellStart"/>
            <w:r w:rsidRPr="1F8A40BA">
              <w:rPr>
                <w:rFonts w:ascii="Times New Roman" w:eastAsia="Times New Roman" w:hAnsi="Times New Roman" w:cs="Times New Roman"/>
                <w:color w:val="000000" w:themeColor="text1"/>
                <w:sz w:val="24"/>
                <w:szCs w:val="24"/>
              </w:rPr>
              <w:t>Collect&amp;Exchange</w:t>
            </w:r>
            <w:proofErr w:type="spellEnd"/>
          </w:p>
        </w:tc>
        <w:tc>
          <w:tcPr>
            <w:tcW w:w="4215" w:type="dxa"/>
            <w:tcMar>
              <w:left w:w="105" w:type="dxa"/>
              <w:right w:w="105" w:type="dxa"/>
            </w:tcMar>
          </w:tcPr>
          <w:p w14:paraId="751F41FC" w14:textId="4348D2DD"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-2023-0002</w:t>
            </w:r>
          </w:p>
          <w:p w14:paraId="2D17B227" w14:textId="1AC7B1C7" w:rsidR="1F8A40BA" w:rsidRPr="007B3F28" w:rsidRDefault="4182C9D5" w:rsidP="00A835B7">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-Providing Money Services in relation to Digital Assets</w:t>
            </w:r>
            <w:r w:rsidR="04AE6841" w:rsidRPr="68A3C7B1">
              <w:rPr>
                <w:rFonts w:ascii="Times New Roman" w:eastAsia="Times New Roman" w:hAnsi="Times New Roman" w:cs="Times New Roman"/>
                <w:color w:val="000000" w:themeColor="text1"/>
                <w:sz w:val="24"/>
                <w:szCs w:val="24"/>
              </w:rPr>
              <w:t xml:space="preserve">                                                                                                                                                                                                                               </w:t>
            </w:r>
          </w:p>
        </w:tc>
        <w:tc>
          <w:tcPr>
            <w:tcW w:w="2701" w:type="dxa"/>
            <w:tcMar>
              <w:left w:w="105" w:type="dxa"/>
              <w:right w:w="105" w:type="dxa"/>
            </w:tcMar>
          </w:tcPr>
          <w:p w14:paraId="7A7F2B6B" w14:textId="70B8A0E1"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21-08-2023</w:t>
            </w:r>
          </w:p>
        </w:tc>
      </w:tr>
      <w:tr w:rsidR="1F8A40BA" w14:paraId="736C57CD" w14:textId="77777777" w:rsidTr="68A3C7B1">
        <w:trPr>
          <w:trHeight w:val="300"/>
        </w:trPr>
        <w:tc>
          <w:tcPr>
            <w:tcW w:w="472" w:type="dxa"/>
            <w:tcMar>
              <w:left w:w="105" w:type="dxa"/>
              <w:right w:w="105" w:type="dxa"/>
            </w:tcMar>
          </w:tcPr>
          <w:p w14:paraId="5F4374F3" w14:textId="12CAAA8C"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11</w:t>
            </w:r>
          </w:p>
        </w:tc>
        <w:tc>
          <w:tcPr>
            <w:tcW w:w="2062" w:type="dxa"/>
            <w:tcMar>
              <w:left w:w="105" w:type="dxa"/>
              <w:right w:w="105" w:type="dxa"/>
            </w:tcMar>
          </w:tcPr>
          <w:p w14:paraId="4E25A86A" w14:textId="2B9ECE1C" w:rsidR="1F8A40BA" w:rsidRDefault="1F8A40BA" w:rsidP="003B475F">
            <w:pPr>
              <w:spacing w:after="160" w:line="360" w:lineRule="auto"/>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Advanced Payment Solutions</w:t>
            </w:r>
          </w:p>
        </w:tc>
        <w:tc>
          <w:tcPr>
            <w:tcW w:w="4215" w:type="dxa"/>
            <w:tcMar>
              <w:left w:w="105" w:type="dxa"/>
              <w:right w:w="105" w:type="dxa"/>
            </w:tcMar>
          </w:tcPr>
          <w:p w14:paraId="2CB5BA76" w14:textId="34133292" w:rsidR="1F8A40BA" w:rsidRPr="007B3F28" w:rsidRDefault="1F8A40BA" w:rsidP="00A835B7">
            <w:pPr>
              <w:spacing w:after="120" w:line="360" w:lineRule="auto"/>
              <w:rPr>
                <w:rFonts w:ascii="Times New Roman" w:eastAsia="Times New Roman" w:hAnsi="Times New Roman" w:cs="Times New Roman"/>
                <w:color w:val="000000" w:themeColor="text1"/>
                <w:sz w:val="24"/>
                <w:szCs w:val="24"/>
              </w:rPr>
            </w:pPr>
            <w:r w:rsidRPr="003B475F">
              <w:rPr>
                <w:rFonts w:ascii="Times New Roman" w:eastAsia="Times New Roman" w:hAnsi="Times New Roman" w:cs="Times New Roman"/>
                <w:color w:val="000000" w:themeColor="text1"/>
                <w:sz w:val="24"/>
                <w:szCs w:val="24"/>
              </w:rPr>
              <w:t xml:space="preserve">1) </w:t>
            </w:r>
            <w:r w:rsidRPr="1F8A40BA">
              <w:rPr>
                <w:rFonts w:ascii="Times New Roman" w:eastAsia="Times New Roman" w:hAnsi="Times New Roman" w:cs="Times New Roman"/>
                <w:i/>
                <w:iCs/>
                <w:color w:val="000000" w:themeColor="text1"/>
                <w:sz w:val="24"/>
                <w:szCs w:val="24"/>
              </w:rPr>
              <w:t>AFSA</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G</w:t>
            </w:r>
            <w:r w:rsidRPr="003B475F">
              <w:rPr>
                <w:rFonts w:ascii="Times New Roman" w:eastAsia="Times New Roman" w:hAnsi="Times New Roman" w:cs="Times New Roman"/>
                <w:i/>
                <w:color w:val="000000" w:themeColor="text1"/>
                <w:sz w:val="24"/>
                <w:szCs w:val="24"/>
              </w:rPr>
              <w:t>-</w:t>
            </w:r>
            <w:r w:rsidRPr="1F8A40BA">
              <w:rPr>
                <w:rFonts w:ascii="Times New Roman" w:eastAsia="Times New Roman" w:hAnsi="Times New Roman" w:cs="Times New Roman"/>
                <w:i/>
                <w:iCs/>
                <w:color w:val="000000" w:themeColor="text1"/>
                <w:sz w:val="24"/>
                <w:szCs w:val="24"/>
              </w:rPr>
              <w:t>LA</w:t>
            </w:r>
            <w:r w:rsidRPr="003B475F">
              <w:rPr>
                <w:rFonts w:ascii="Times New Roman" w:eastAsia="Times New Roman" w:hAnsi="Times New Roman" w:cs="Times New Roman"/>
                <w:i/>
                <w:color w:val="000000" w:themeColor="text1"/>
                <w:sz w:val="24"/>
                <w:szCs w:val="24"/>
              </w:rPr>
              <w:t xml:space="preserve">-2021-0017 </w:t>
            </w:r>
          </w:p>
          <w:p w14:paraId="07E18730" w14:textId="53C1F82B" w:rsidR="1F8A40BA" w:rsidRPr="007B3F28" w:rsidRDefault="61F04915" w:rsidP="00A835B7">
            <w:pPr>
              <w:spacing w:after="120" w:line="360" w:lineRule="auto"/>
              <w:rPr>
                <w:rFonts w:ascii="Times New Roman" w:eastAsia="Times New Roman" w:hAnsi="Times New Roman" w:cs="Times New Roman"/>
                <w:color w:val="000000" w:themeColor="text1"/>
                <w:sz w:val="24"/>
                <w:szCs w:val="24"/>
              </w:rPr>
            </w:pPr>
            <w:r w:rsidRPr="68A3C7B1">
              <w:rPr>
                <w:rFonts w:ascii="Times New Roman" w:eastAsia="Times New Roman" w:hAnsi="Times New Roman" w:cs="Times New Roman"/>
                <w:color w:val="000000" w:themeColor="text1"/>
                <w:sz w:val="24"/>
                <w:szCs w:val="24"/>
              </w:rPr>
              <w:t>-Providing Money Services</w:t>
            </w:r>
            <w:r w:rsidR="1F8A40BA">
              <w:br/>
            </w:r>
            <w:r w:rsidRPr="68A3C7B1">
              <w:rPr>
                <w:rFonts w:ascii="Times New Roman" w:eastAsia="Times New Roman" w:hAnsi="Times New Roman" w:cs="Times New Roman"/>
                <w:color w:val="000000" w:themeColor="text1"/>
                <w:sz w:val="24"/>
                <w:szCs w:val="24"/>
              </w:rPr>
              <w:t>-Dealing in Investments as Agent</w:t>
            </w:r>
            <w:r w:rsidR="1F8A40BA">
              <w:br/>
            </w:r>
            <w:r w:rsidRPr="68A3C7B1">
              <w:rPr>
                <w:rFonts w:ascii="Times New Roman" w:eastAsia="Times New Roman" w:hAnsi="Times New Roman" w:cs="Times New Roman"/>
                <w:color w:val="000000" w:themeColor="text1"/>
                <w:sz w:val="24"/>
                <w:szCs w:val="24"/>
              </w:rPr>
              <w:t>-Arranging Deals in Investments</w:t>
            </w:r>
          </w:p>
        </w:tc>
        <w:tc>
          <w:tcPr>
            <w:tcW w:w="2701" w:type="dxa"/>
            <w:tcMar>
              <w:left w:w="105" w:type="dxa"/>
              <w:right w:w="105" w:type="dxa"/>
            </w:tcMar>
          </w:tcPr>
          <w:p w14:paraId="3AAC8E95" w14:textId="65BD59CC" w:rsidR="1F8A40BA" w:rsidRDefault="1F8A40BA" w:rsidP="001570CD">
            <w:pPr>
              <w:spacing w:after="160" w:line="360" w:lineRule="auto"/>
              <w:jc w:val="center"/>
              <w:rPr>
                <w:rFonts w:ascii="Times New Roman" w:eastAsia="Times New Roman" w:hAnsi="Times New Roman" w:cs="Times New Roman"/>
                <w:color w:val="000000" w:themeColor="text1"/>
                <w:sz w:val="24"/>
                <w:szCs w:val="24"/>
              </w:rPr>
            </w:pPr>
            <w:r w:rsidRPr="1F8A40BA">
              <w:rPr>
                <w:rFonts w:ascii="Times New Roman" w:eastAsia="Times New Roman" w:hAnsi="Times New Roman" w:cs="Times New Roman"/>
                <w:color w:val="000000" w:themeColor="text1"/>
                <w:sz w:val="24"/>
                <w:szCs w:val="24"/>
              </w:rPr>
              <w:t>12-07-2021</w:t>
            </w:r>
          </w:p>
        </w:tc>
      </w:tr>
    </w:tbl>
    <w:p w14:paraId="2629EB9A" w14:textId="77777777" w:rsidR="00473767" w:rsidRDefault="00473767" w:rsidP="003B475F">
      <w:pPr>
        <w:spacing w:line="360" w:lineRule="auto"/>
        <w:jc w:val="both"/>
        <w:rPr>
          <w:rFonts w:ascii="Arial" w:hAnsi="Arial" w:cs="Arial"/>
          <w:sz w:val="28"/>
          <w:szCs w:val="28"/>
        </w:rPr>
      </w:pPr>
    </w:p>
    <w:p w14:paraId="2D6EBFBA" w14:textId="39F625F3" w:rsidR="00473767" w:rsidRPr="00ED368C" w:rsidRDefault="00473767" w:rsidP="00A835B7">
      <w:pPr>
        <w:spacing w:line="360" w:lineRule="auto"/>
        <w:jc w:val="center"/>
        <w:rPr>
          <w:rFonts w:ascii="Times New Roman" w:hAnsi="Times New Roman" w:cs="Times New Roman"/>
          <w:sz w:val="28"/>
          <w:szCs w:val="28"/>
        </w:rPr>
      </w:pPr>
      <w:r w:rsidRPr="00ED368C">
        <w:rPr>
          <w:rFonts w:ascii="Times New Roman" w:hAnsi="Times New Roman" w:cs="Times New Roman"/>
          <w:sz w:val="28"/>
          <w:szCs w:val="28"/>
        </w:rPr>
        <w:t xml:space="preserve">Statistics on suspicious and threshold transactions of the AIFC </w:t>
      </w:r>
      <w:r w:rsidR="00DB5DC6" w:rsidRPr="00ED368C">
        <w:rPr>
          <w:rFonts w:ascii="Times New Roman" w:hAnsi="Times New Roman" w:cs="Times New Roman"/>
          <w:sz w:val="28"/>
          <w:szCs w:val="28"/>
        </w:rPr>
        <w:t>DASPs</w:t>
      </w:r>
      <w:r w:rsidRPr="00ED368C">
        <w:rPr>
          <w:rFonts w:ascii="Times New Roman" w:hAnsi="Times New Roman" w:cs="Times New Roman"/>
          <w:sz w:val="28"/>
          <w:szCs w:val="28"/>
        </w:rPr>
        <w:t xml:space="preserve"> in 2023 </w:t>
      </w:r>
    </w:p>
    <w:tbl>
      <w:tblPr>
        <w:tblStyle w:val="TableGrid"/>
        <w:tblW w:w="9535" w:type="dxa"/>
        <w:tblLook w:val="04A0" w:firstRow="1" w:lastRow="0" w:firstColumn="1" w:lastColumn="0" w:noHBand="0" w:noVBand="1"/>
      </w:tblPr>
      <w:tblGrid>
        <w:gridCol w:w="570"/>
        <w:gridCol w:w="2038"/>
        <w:gridCol w:w="4227"/>
        <w:gridCol w:w="2700"/>
      </w:tblGrid>
      <w:tr w:rsidR="00047401" w14:paraId="13BF180C" w14:textId="77777777" w:rsidTr="00A835B7">
        <w:tc>
          <w:tcPr>
            <w:tcW w:w="570" w:type="dxa"/>
          </w:tcPr>
          <w:p w14:paraId="7B086D1C" w14:textId="79E418E9" w:rsidR="00047401" w:rsidRPr="00A835B7" w:rsidRDefault="00047401" w:rsidP="00A835B7">
            <w:pPr>
              <w:spacing w:after="160"/>
              <w:rPr>
                <w:rFonts w:ascii="Times New Roman" w:eastAsia="Arial" w:hAnsi="Times New Roman" w:cs="Times New Roman"/>
                <w:b/>
                <w:bCs/>
                <w:sz w:val="24"/>
                <w:szCs w:val="24"/>
                <w:lang w:val="ru-RU"/>
              </w:rPr>
            </w:pPr>
            <w:r w:rsidRPr="00A835B7">
              <w:rPr>
                <w:rFonts w:ascii="Times New Roman" w:eastAsia="Arial" w:hAnsi="Times New Roman" w:cs="Times New Roman"/>
                <w:b/>
                <w:bCs/>
                <w:sz w:val="24"/>
                <w:szCs w:val="24"/>
              </w:rPr>
              <w:t>№</w:t>
            </w:r>
          </w:p>
        </w:tc>
        <w:tc>
          <w:tcPr>
            <w:tcW w:w="2038" w:type="dxa"/>
          </w:tcPr>
          <w:p w14:paraId="293B7AEE" w14:textId="45EEDA97" w:rsidR="00047401" w:rsidRPr="00A835B7" w:rsidRDefault="00DB5DC6" w:rsidP="00A835B7">
            <w:pPr>
              <w:spacing w:after="160"/>
              <w:jc w:val="center"/>
              <w:rPr>
                <w:rFonts w:ascii="Times New Roman" w:eastAsia="Arial" w:hAnsi="Times New Roman" w:cs="Times New Roman"/>
                <w:b/>
                <w:bCs/>
                <w:sz w:val="24"/>
                <w:szCs w:val="24"/>
                <w:lang w:val="ru-RU"/>
              </w:rPr>
            </w:pPr>
            <w:r>
              <w:rPr>
                <w:rFonts w:ascii="Times New Roman" w:eastAsia="Arial" w:hAnsi="Times New Roman" w:cs="Times New Roman"/>
                <w:b/>
                <w:bCs/>
                <w:sz w:val="24"/>
                <w:szCs w:val="24"/>
              </w:rPr>
              <w:t>DASP name</w:t>
            </w:r>
          </w:p>
        </w:tc>
        <w:tc>
          <w:tcPr>
            <w:tcW w:w="4227" w:type="dxa"/>
          </w:tcPr>
          <w:p w14:paraId="69E7D819" w14:textId="00CF9FE5" w:rsidR="00047401" w:rsidRPr="007B3F28" w:rsidRDefault="00434660" w:rsidP="00A835B7">
            <w:pPr>
              <w:spacing w:after="160"/>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Suspicious Transaction Reports (STRs) and Transaction Threshold </w:t>
            </w:r>
            <w:r w:rsidR="00DB5DC6">
              <w:rPr>
                <w:rFonts w:ascii="Times New Roman" w:eastAsia="Arial" w:hAnsi="Times New Roman" w:cs="Times New Roman"/>
                <w:b/>
                <w:bCs/>
                <w:sz w:val="24"/>
                <w:szCs w:val="24"/>
              </w:rPr>
              <w:t>Reports</w:t>
            </w:r>
            <w:r>
              <w:rPr>
                <w:rFonts w:ascii="Times New Roman" w:eastAsia="Arial" w:hAnsi="Times New Roman" w:cs="Times New Roman"/>
                <w:b/>
                <w:bCs/>
                <w:sz w:val="24"/>
                <w:szCs w:val="24"/>
              </w:rPr>
              <w:t xml:space="preserve"> (TTRs)</w:t>
            </w:r>
          </w:p>
        </w:tc>
        <w:tc>
          <w:tcPr>
            <w:tcW w:w="2700" w:type="dxa"/>
          </w:tcPr>
          <w:p w14:paraId="7E5A168A" w14:textId="11898087" w:rsidR="00047401" w:rsidRPr="00A835B7" w:rsidRDefault="00845CAE" w:rsidP="00A835B7">
            <w:pPr>
              <w:spacing w:after="160"/>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Number of reports</w:t>
            </w:r>
          </w:p>
        </w:tc>
      </w:tr>
      <w:tr w:rsidR="00047401" w14:paraId="0A8A50E8" w14:textId="77777777" w:rsidTr="00A835B7">
        <w:tc>
          <w:tcPr>
            <w:tcW w:w="570" w:type="dxa"/>
            <w:vMerge w:val="restart"/>
          </w:tcPr>
          <w:p w14:paraId="23A90A84" w14:textId="61A8495F" w:rsidR="00047401" w:rsidRPr="00473767" w:rsidRDefault="00047401" w:rsidP="00A835B7">
            <w:pPr>
              <w:spacing w:after="160"/>
              <w:rPr>
                <w:rFonts w:ascii="Times New Roman" w:eastAsia="Arial" w:hAnsi="Times New Roman" w:cs="Times New Roman"/>
                <w:sz w:val="24"/>
                <w:szCs w:val="24"/>
                <w:highlight w:val="yellow"/>
              </w:rPr>
            </w:pPr>
            <w:r w:rsidRPr="00A835B7">
              <w:rPr>
                <w:rFonts w:ascii="Times New Roman" w:eastAsia="Arial" w:hAnsi="Times New Roman" w:cs="Times New Roman"/>
                <w:sz w:val="24"/>
                <w:szCs w:val="24"/>
              </w:rPr>
              <w:t>1</w:t>
            </w:r>
          </w:p>
        </w:tc>
        <w:tc>
          <w:tcPr>
            <w:tcW w:w="2038" w:type="dxa"/>
            <w:vMerge w:val="restart"/>
          </w:tcPr>
          <w:p w14:paraId="250A4F4A" w14:textId="7EFA7814" w:rsidR="00047401" w:rsidRPr="00A835B7" w:rsidRDefault="00047401" w:rsidP="00A835B7">
            <w:pPr>
              <w:spacing w:after="160"/>
              <w:rPr>
                <w:rFonts w:ascii="Times New Roman" w:eastAsia="Arial" w:hAnsi="Times New Roman" w:cs="Times New Roman"/>
                <w:sz w:val="24"/>
                <w:szCs w:val="24"/>
                <w:highlight w:val="yellow"/>
              </w:rPr>
            </w:pPr>
            <w:proofErr w:type="spellStart"/>
            <w:r w:rsidRPr="00A835B7">
              <w:rPr>
                <w:rFonts w:ascii="Times New Roman" w:eastAsia="Arial" w:hAnsi="Times New Roman" w:cs="Times New Roman"/>
                <w:sz w:val="24"/>
                <w:szCs w:val="24"/>
              </w:rPr>
              <w:t>Ataix</w:t>
            </w:r>
            <w:proofErr w:type="spellEnd"/>
            <w:r w:rsidRPr="00A835B7">
              <w:rPr>
                <w:rFonts w:ascii="Times New Roman" w:eastAsia="Arial" w:hAnsi="Times New Roman" w:cs="Times New Roman"/>
                <w:sz w:val="24"/>
                <w:szCs w:val="24"/>
              </w:rPr>
              <w:t xml:space="preserve"> Eurasia Ltd.</w:t>
            </w:r>
          </w:p>
        </w:tc>
        <w:tc>
          <w:tcPr>
            <w:tcW w:w="4227" w:type="dxa"/>
          </w:tcPr>
          <w:p w14:paraId="179095F0"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STR</w:t>
            </w:r>
          </w:p>
        </w:tc>
        <w:tc>
          <w:tcPr>
            <w:tcW w:w="2700" w:type="dxa"/>
          </w:tcPr>
          <w:p w14:paraId="20D4D9AD" w14:textId="77777777" w:rsidR="00047401" w:rsidRPr="00A835B7" w:rsidRDefault="00047401" w:rsidP="00A835B7">
            <w:pPr>
              <w:spacing w:after="160"/>
              <w:rPr>
                <w:rFonts w:ascii="Times New Roman" w:eastAsia="Arial" w:hAnsi="Times New Roman" w:cs="Times New Roman"/>
                <w:sz w:val="24"/>
                <w:szCs w:val="24"/>
                <w:lang w:val="ru-RU"/>
              </w:rPr>
            </w:pPr>
            <w:r w:rsidRPr="00A835B7">
              <w:rPr>
                <w:rFonts w:ascii="Times New Roman" w:eastAsia="Arial" w:hAnsi="Times New Roman" w:cs="Times New Roman"/>
                <w:sz w:val="24"/>
                <w:szCs w:val="24"/>
              </w:rPr>
              <w:t>3305</w:t>
            </w:r>
          </w:p>
        </w:tc>
      </w:tr>
      <w:tr w:rsidR="00047401" w14:paraId="763E7CC1" w14:textId="77777777" w:rsidTr="00A835B7">
        <w:tc>
          <w:tcPr>
            <w:tcW w:w="570" w:type="dxa"/>
            <w:vMerge/>
          </w:tcPr>
          <w:p w14:paraId="0E7146A8" w14:textId="77777777" w:rsidR="00047401" w:rsidRPr="00473767" w:rsidRDefault="00047401" w:rsidP="00A835B7">
            <w:pPr>
              <w:spacing w:after="160"/>
              <w:rPr>
                <w:rFonts w:ascii="Times New Roman" w:hAnsi="Times New Roman" w:cs="Times New Roman"/>
                <w:sz w:val="24"/>
                <w:szCs w:val="24"/>
              </w:rPr>
            </w:pPr>
          </w:p>
        </w:tc>
        <w:tc>
          <w:tcPr>
            <w:tcW w:w="2038" w:type="dxa"/>
            <w:vMerge/>
          </w:tcPr>
          <w:p w14:paraId="774E9BD6" w14:textId="2705393B" w:rsidR="00047401" w:rsidRPr="00A835B7" w:rsidRDefault="00047401" w:rsidP="00A835B7">
            <w:pPr>
              <w:spacing w:after="160"/>
              <w:rPr>
                <w:rFonts w:ascii="Times New Roman" w:hAnsi="Times New Roman" w:cs="Times New Roman"/>
                <w:sz w:val="24"/>
                <w:szCs w:val="24"/>
              </w:rPr>
            </w:pPr>
          </w:p>
        </w:tc>
        <w:tc>
          <w:tcPr>
            <w:tcW w:w="4227" w:type="dxa"/>
          </w:tcPr>
          <w:p w14:paraId="1DBD4C7E"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TTR</w:t>
            </w:r>
          </w:p>
        </w:tc>
        <w:tc>
          <w:tcPr>
            <w:tcW w:w="2700" w:type="dxa"/>
          </w:tcPr>
          <w:p w14:paraId="022C390C" w14:textId="0FB11F6E" w:rsidR="00047401" w:rsidRPr="00A835B7" w:rsidRDefault="00CC2573" w:rsidP="00A835B7">
            <w:pPr>
              <w:spacing w:after="160"/>
              <w:rPr>
                <w:rFonts w:ascii="Times New Roman" w:eastAsia="Arial" w:hAnsi="Times New Roman" w:cs="Times New Roman"/>
                <w:sz w:val="24"/>
                <w:szCs w:val="24"/>
                <w:lang w:val="ru-RU"/>
              </w:rPr>
            </w:pPr>
            <w:r>
              <w:rPr>
                <w:rFonts w:ascii="Times New Roman" w:eastAsia="Arial" w:hAnsi="Times New Roman" w:cs="Times New Roman"/>
                <w:sz w:val="24"/>
                <w:szCs w:val="24"/>
              </w:rPr>
              <w:t>0</w:t>
            </w:r>
          </w:p>
        </w:tc>
      </w:tr>
      <w:tr w:rsidR="00047401" w14:paraId="7F4FCE24" w14:textId="77777777" w:rsidTr="00A835B7">
        <w:tc>
          <w:tcPr>
            <w:tcW w:w="570" w:type="dxa"/>
            <w:vMerge w:val="restart"/>
          </w:tcPr>
          <w:p w14:paraId="4986F9FA" w14:textId="435E74DB" w:rsidR="00047401" w:rsidRPr="00473767" w:rsidRDefault="00047401" w:rsidP="00A835B7">
            <w:pPr>
              <w:spacing w:after="160"/>
              <w:rPr>
                <w:rFonts w:ascii="Times New Roman" w:eastAsia="Arial" w:hAnsi="Times New Roman" w:cs="Times New Roman"/>
                <w:sz w:val="24"/>
                <w:szCs w:val="24"/>
              </w:rPr>
            </w:pPr>
            <w:r w:rsidRPr="00473767">
              <w:rPr>
                <w:rFonts w:ascii="Times New Roman" w:eastAsia="Arial" w:hAnsi="Times New Roman" w:cs="Times New Roman"/>
                <w:sz w:val="24"/>
                <w:szCs w:val="24"/>
              </w:rPr>
              <w:t>2</w:t>
            </w:r>
          </w:p>
        </w:tc>
        <w:tc>
          <w:tcPr>
            <w:tcW w:w="2038" w:type="dxa"/>
            <w:vMerge w:val="restart"/>
          </w:tcPr>
          <w:p w14:paraId="5644DDF1" w14:textId="2AB053AE" w:rsidR="00047401" w:rsidRPr="00A835B7" w:rsidRDefault="00047401" w:rsidP="00A835B7">
            <w:pPr>
              <w:spacing w:after="160"/>
              <w:rPr>
                <w:rFonts w:ascii="Times New Roman" w:eastAsia="Arial" w:hAnsi="Times New Roman" w:cs="Times New Roman"/>
                <w:sz w:val="24"/>
                <w:szCs w:val="24"/>
                <w:highlight w:val="yellow"/>
              </w:rPr>
            </w:pPr>
            <w:r w:rsidRPr="00A835B7">
              <w:rPr>
                <w:rFonts w:ascii="Times New Roman" w:eastAsia="Arial" w:hAnsi="Times New Roman" w:cs="Times New Roman"/>
                <w:sz w:val="24"/>
                <w:szCs w:val="24"/>
              </w:rPr>
              <w:t>BN KZ Technologies Limited</w:t>
            </w:r>
          </w:p>
        </w:tc>
        <w:tc>
          <w:tcPr>
            <w:tcW w:w="4227" w:type="dxa"/>
          </w:tcPr>
          <w:p w14:paraId="2B033AB2"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STR</w:t>
            </w:r>
          </w:p>
        </w:tc>
        <w:tc>
          <w:tcPr>
            <w:tcW w:w="2700" w:type="dxa"/>
          </w:tcPr>
          <w:p w14:paraId="35EF97D4"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31</w:t>
            </w:r>
          </w:p>
        </w:tc>
      </w:tr>
      <w:tr w:rsidR="00047401" w14:paraId="7FE6BAE1" w14:textId="77777777" w:rsidTr="00A835B7">
        <w:tc>
          <w:tcPr>
            <w:tcW w:w="570" w:type="dxa"/>
            <w:vMerge/>
          </w:tcPr>
          <w:p w14:paraId="19ABF222" w14:textId="77777777" w:rsidR="00047401" w:rsidRPr="00473767" w:rsidRDefault="00047401" w:rsidP="00A835B7">
            <w:pPr>
              <w:spacing w:after="160"/>
              <w:rPr>
                <w:rFonts w:ascii="Times New Roman" w:hAnsi="Times New Roman" w:cs="Times New Roman"/>
                <w:sz w:val="24"/>
                <w:szCs w:val="24"/>
              </w:rPr>
            </w:pPr>
          </w:p>
        </w:tc>
        <w:tc>
          <w:tcPr>
            <w:tcW w:w="2038" w:type="dxa"/>
            <w:vMerge/>
          </w:tcPr>
          <w:p w14:paraId="33A42C4C" w14:textId="5A30B566" w:rsidR="00047401" w:rsidRPr="00A835B7" w:rsidRDefault="00047401" w:rsidP="00A835B7">
            <w:pPr>
              <w:spacing w:after="160"/>
              <w:rPr>
                <w:rFonts w:ascii="Times New Roman" w:hAnsi="Times New Roman" w:cs="Times New Roman"/>
                <w:sz w:val="24"/>
                <w:szCs w:val="24"/>
              </w:rPr>
            </w:pPr>
          </w:p>
        </w:tc>
        <w:tc>
          <w:tcPr>
            <w:tcW w:w="4227" w:type="dxa"/>
          </w:tcPr>
          <w:p w14:paraId="3C4424C5"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TTR</w:t>
            </w:r>
          </w:p>
        </w:tc>
        <w:tc>
          <w:tcPr>
            <w:tcW w:w="2700" w:type="dxa"/>
          </w:tcPr>
          <w:p w14:paraId="1D436625" w14:textId="77777777" w:rsidR="00047401" w:rsidRPr="00A835B7" w:rsidRDefault="00047401" w:rsidP="00A835B7">
            <w:pPr>
              <w:spacing w:after="160"/>
              <w:rPr>
                <w:rFonts w:ascii="Times New Roman" w:eastAsia="Arial" w:hAnsi="Times New Roman" w:cs="Times New Roman"/>
                <w:sz w:val="24"/>
                <w:szCs w:val="24"/>
                <w:lang w:val="ru-RU"/>
              </w:rPr>
            </w:pPr>
            <w:r w:rsidRPr="00A835B7">
              <w:rPr>
                <w:rFonts w:ascii="Times New Roman" w:eastAsia="Arial" w:hAnsi="Times New Roman" w:cs="Times New Roman"/>
                <w:sz w:val="24"/>
                <w:szCs w:val="24"/>
              </w:rPr>
              <w:t>0</w:t>
            </w:r>
          </w:p>
        </w:tc>
      </w:tr>
      <w:tr w:rsidR="00047401" w14:paraId="2E530F9E" w14:textId="77777777" w:rsidTr="00A835B7">
        <w:tc>
          <w:tcPr>
            <w:tcW w:w="570" w:type="dxa"/>
            <w:vMerge w:val="restart"/>
          </w:tcPr>
          <w:p w14:paraId="15724729" w14:textId="190F77D6" w:rsidR="00047401" w:rsidRPr="00A835B7" w:rsidRDefault="001C3007" w:rsidP="00A835B7">
            <w:pPr>
              <w:spacing w:after="160"/>
              <w:rPr>
                <w:rStyle w:val="ui-provider"/>
                <w:rFonts w:ascii="Times New Roman" w:eastAsia="Arial" w:hAnsi="Times New Roman" w:cs="Times New Roman"/>
                <w:sz w:val="24"/>
                <w:szCs w:val="24"/>
                <w:lang w:val="ru-RU"/>
              </w:rPr>
            </w:pPr>
            <w:r>
              <w:rPr>
                <w:rStyle w:val="ui-provider"/>
                <w:rFonts w:ascii="Times New Roman" w:eastAsia="Arial" w:hAnsi="Times New Roman" w:cs="Times New Roman"/>
                <w:sz w:val="24"/>
                <w:szCs w:val="24"/>
              </w:rPr>
              <w:t>3</w:t>
            </w:r>
          </w:p>
        </w:tc>
        <w:tc>
          <w:tcPr>
            <w:tcW w:w="2038" w:type="dxa"/>
            <w:vMerge w:val="restart"/>
            <w:shd w:val="clear" w:color="auto" w:fill="auto"/>
          </w:tcPr>
          <w:p w14:paraId="54CFFBF9" w14:textId="11AC2E20" w:rsidR="00047401" w:rsidRPr="00A835B7" w:rsidRDefault="00047401" w:rsidP="00A835B7">
            <w:pPr>
              <w:spacing w:after="160"/>
              <w:rPr>
                <w:rFonts w:ascii="Times New Roman" w:eastAsia="Arial" w:hAnsi="Times New Roman" w:cs="Times New Roman"/>
                <w:sz w:val="24"/>
                <w:szCs w:val="24"/>
                <w:highlight w:val="yellow"/>
              </w:rPr>
            </w:pPr>
            <w:r w:rsidRPr="00A835B7">
              <w:rPr>
                <w:rStyle w:val="ui-provider"/>
                <w:rFonts w:ascii="Times New Roman" w:eastAsia="Arial" w:hAnsi="Times New Roman" w:cs="Times New Roman"/>
                <w:sz w:val="24"/>
                <w:szCs w:val="24"/>
              </w:rPr>
              <w:t>Top Line Limited</w:t>
            </w:r>
          </w:p>
        </w:tc>
        <w:tc>
          <w:tcPr>
            <w:tcW w:w="4227" w:type="dxa"/>
          </w:tcPr>
          <w:p w14:paraId="4A026D14"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STR</w:t>
            </w:r>
          </w:p>
        </w:tc>
        <w:tc>
          <w:tcPr>
            <w:tcW w:w="2700" w:type="dxa"/>
          </w:tcPr>
          <w:p w14:paraId="5A1F6823" w14:textId="77777777" w:rsidR="00047401" w:rsidRPr="00A835B7" w:rsidRDefault="00047401" w:rsidP="00A835B7">
            <w:pPr>
              <w:spacing w:after="160"/>
              <w:rPr>
                <w:rFonts w:ascii="Times New Roman" w:eastAsia="Arial" w:hAnsi="Times New Roman" w:cs="Times New Roman"/>
                <w:sz w:val="24"/>
                <w:szCs w:val="24"/>
                <w:lang w:val="ru-RU"/>
              </w:rPr>
            </w:pPr>
            <w:r w:rsidRPr="00A835B7">
              <w:rPr>
                <w:rFonts w:ascii="Times New Roman" w:eastAsia="Arial" w:hAnsi="Times New Roman" w:cs="Times New Roman"/>
                <w:sz w:val="24"/>
                <w:szCs w:val="24"/>
              </w:rPr>
              <w:t>2</w:t>
            </w:r>
          </w:p>
        </w:tc>
      </w:tr>
      <w:tr w:rsidR="00047401" w14:paraId="489A3619" w14:textId="77777777" w:rsidTr="00A835B7">
        <w:tc>
          <w:tcPr>
            <w:tcW w:w="570" w:type="dxa"/>
            <w:vMerge/>
          </w:tcPr>
          <w:p w14:paraId="6E641FEF" w14:textId="77777777" w:rsidR="00047401" w:rsidRPr="00473767" w:rsidRDefault="00047401" w:rsidP="00A835B7">
            <w:pPr>
              <w:spacing w:after="160"/>
              <w:rPr>
                <w:rFonts w:ascii="Times New Roman" w:hAnsi="Times New Roman" w:cs="Times New Roman"/>
                <w:sz w:val="24"/>
                <w:szCs w:val="24"/>
              </w:rPr>
            </w:pPr>
          </w:p>
        </w:tc>
        <w:tc>
          <w:tcPr>
            <w:tcW w:w="2038" w:type="dxa"/>
            <w:vMerge/>
          </w:tcPr>
          <w:p w14:paraId="438AE329" w14:textId="5C20B8F3" w:rsidR="00047401" w:rsidRPr="00A835B7" w:rsidRDefault="00047401" w:rsidP="00A835B7">
            <w:pPr>
              <w:spacing w:after="160"/>
              <w:rPr>
                <w:rFonts w:ascii="Times New Roman" w:hAnsi="Times New Roman" w:cs="Times New Roman"/>
                <w:sz w:val="24"/>
                <w:szCs w:val="24"/>
              </w:rPr>
            </w:pPr>
          </w:p>
        </w:tc>
        <w:tc>
          <w:tcPr>
            <w:tcW w:w="4227" w:type="dxa"/>
          </w:tcPr>
          <w:p w14:paraId="423986AB"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TTR</w:t>
            </w:r>
          </w:p>
        </w:tc>
        <w:tc>
          <w:tcPr>
            <w:tcW w:w="2700" w:type="dxa"/>
          </w:tcPr>
          <w:p w14:paraId="33F021BE" w14:textId="77777777" w:rsidR="00047401" w:rsidRPr="00A835B7" w:rsidRDefault="00047401" w:rsidP="00A835B7">
            <w:pPr>
              <w:spacing w:after="160"/>
              <w:rPr>
                <w:rFonts w:ascii="Times New Roman" w:eastAsia="Arial" w:hAnsi="Times New Roman" w:cs="Times New Roman"/>
                <w:sz w:val="24"/>
                <w:szCs w:val="24"/>
                <w:lang w:val="ru-RU"/>
              </w:rPr>
            </w:pPr>
            <w:r w:rsidRPr="00A835B7">
              <w:rPr>
                <w:rFonts w:ascii="Times New Roman" w:eastAsia="Arial" w:hAnsi="Times New Roman" w:cs="Times New Roman"/>
                <w:sz w:val="24"/>
                <w:szCs w:val="24"/>
              </w:rPr>
              <w:t>0</w:t>
            </w:r>
          </w:p>
        </w:tc>
      </w:tr>
      <w:tr w:rsidR="00047401" w:rsidRPr="004A36AE" w14:paraId="37A2DEFB" w14:textId="77777777" w:rsidTr="00A835B7">
        <w:tc>
          <w:tcPr>
            <w:tcW w:w="570" w:type="dxa"/>
            <w:vMerge w:val="restart"/>
          </w:tcPr>
          <w:p w14:paraId="6C9E9A0A" w14:textId="0174FB0D" w:rsidR="00047401" w:rsidRPr="00A835B7" w:rsidRDefault="001C3007" w:rsidP="00A835B7">
            <w:pPr>
              <w:spacing w:after="160"/>
              <w:rPr>
                <w:rStyle w:val="ui-provider"/>
                <w:rFonts w:ascii="Times New Roman" w:eastAsia="Arial" w:hAnsi="Times New Roman" w:cs="Times New Roman"/>
                <w:sz w:val="24"/>
                <w:szCs w:val="24"/>
                <w:lang w:val="ru-RU"/>
              </w:rPr>
            </w:pPr>
            <w:r>
              <w:rPr>
                <w:rStyle w:val="ui-provider"/>
                <w:rFonts w:ascii="Times New Roman" w:eastAsia="Arial" w:hAnsi="Times New Roman" w:cs="Times New Roman"/>
                <w:sz w:val="24"/>
                <w:szCs w:val="24"/>
              </w:rPr>
              <w:t>4</w:t>
            </w:r>
          </w:p>
        </w:tc>
        <w:tc>
          <w:tcPr>
            <w:tcW w:w="2038" w:type="dxa"/>
            <w:vMerge w:val="restart"/>
          </w:tcPr>
          <w:p w14:paraId="4C59CD31" w14:textId="249E6BE9" w:rsidR="00047401" w:rsidRPr="00A835B7" w:rsidRDefault="00047401" w:rsidP="00A835B7">
            <w:pPr>
              <w:spacing w:after="160"/>
              <w:rPr>
                <w:rStyle w:val="ui-provider"/>
                <w:rFonts w:ascii="Times New Roman" w:eastAsia="Arial" w:hAnsi="Times New Roman" w:cs="Times New Roman"/>
                <w:sz w:val="24"/>
                <w:szCs w:val="24"/>
              </w:rPr>
            </w:pPr>
            <w:proofErr w:type="spellStart"/>
            <w:r w:rsidRPr="00A835B7">
              <w:rPr>
                <w:rStyle w:val="ui-provider"/>
                <w:rFonts w:ascii="Times New Roman" w:eastAsia="Arial" w:hAnsi="Times New Roman" w:cs="Times New Roman"/>
                <w:sz w:val="24"/>
                <w:szCs w:val="24"/>
              </w:rPr>
              <w:t>SkyBridge</w:t>
            </w:r>
            <w:proofErr w:type="spellEnd"/>
            <w:r w:rsidRPr="00A835B7">
              <w:rPr>
                <w:rStyle w:val="ui-provider"/>
                <w:rFonts w:ascii="Times New Roman" w:eastAsia="Arial" w:hAnsi="Times New Roman" w:cs="Times New Roman"/>
                <w:sz w:val="24"/>
                <w:szCs w:val="24"/>
              </w:rPr>
              <w:t xml:space="preserve"> Digital Finance Ltd.</w:t>
            </w:r>
          </w:p>
        </w:tc>
        <w:tc>
          <w:tcPr>
            <w:tcW w:w="4227" w:type="dxa"/>
          </w:tcPr>
          <w:p w14:paraId="2C21A9F8"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STR</w:t>
            </w:r>
          </w:p>
        </w:tc>
        <w:tc>
          <w:tcPr>
            <w:tcW w:w="2700" w:type="dxa"/>
          </w:tcPr>
          <w:p w14:paraId="2282486B" w14:textId="77777777" w:rsidR="00047401" w:rsidRPr="00A835B7" w:rsidRDefault="00047401" w:rsidP="00A835B7">
            <w:pPr>
              <w:spacing w:after="160"/>
              <w:rPr>
                <w:rFonts w:ascii="Times New Roman" w:eastAsia="Arial" w:hAnsi="Times New Roman" w:cs="Times New Roman"/>
                <w:sz w:val="24"/>
                <w:szCs w:val="24"/>
                <w:lang w:val="ru-RU"/>
              </w:rPr>
            </w:pPr>
            <w:r w:rsidRPr="00A835B7">
              <w:rPr>
                <w:rFonts w:ascii="Times New Roman" w:eastAsia="Arial" w:hAnsi="Times New Roman" w:cs="Times New Roman"/>
                <w:sz w:val="24"/>
                <w:szCs w:val="24"/>
              </w:rPr>
              <w:t>0</w:t>
            </w:r>
          </w:p>
        </w:tc>
      </w:tr>
      <w:tr w:rsidR="00047401" w:rsidRPr="004A36AE" w14:paraId="4E1F0C89" w14:textId="77777777" w:rsidTr="00A835B7">
        <w:tc>
          <w:tcPr>
            <w:tcW w:w="570" w:type="dxa"/>
            <w:vMerge/>
          </w:tcPr>
          <w:p w14:paraId="5BF15702" w14:textId="77777777" w:rsidR="00047401" w:rsidRPr="00473767" w:rsidRDefault="00047401" w:rsidP="00A835B7">
            <w:pPr>
              <w:spacing w:after="160"/>
              <w:rPr>
                <w:rFonts w:ascii="Times New Roman" w:hAnsi="Times New Roman" w:cs="Times New Roman"/>
                <w:sz w:val="24"/>
                <w:szCs w:val="24"/>
                <w:lang w:val="ru-RU"/>
              </w:rPr>
            </w:pPr>
          </w:p>
        </w:tc>
        <w:tc>
          <w:tcPr>
            <w:tcW w:w="2038" w:type="dxa"/>
            <w:vMerge/>
          </w:tcPr>
          <w:p w14:paraId="7E510857" w14:textId="1B886E04" w:rsidR="00047401" w:rsidRPr="00A835B7" w:rsidRDefault="00047401" w:rsidP="00A835B7">
            <w:pPr>
              <w:spacing w:after="160"/>
              <w:rPr>
                <w:rFonts w:ascii="Times New Roman" w:hAnsi="Times New Roman" w:cs="Times New Roman"/>
                <w:sz w:val="24"/>
                <w:szCs w:val="24"/>
                <w:lang w:val="ru-RU"/>
              </w:rPr>
            </w:pPr>
          </w:p>
        </w:tc>
        <w:tc>
          <w:tcPr>
            <w:tcW w:w="4227" w:type="dxa"/>
          </w:tcPr>
          <w:p w14:paraId="05B9E48D"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TTR</w:t>
            </w:r>
          </w:p>
        </w:tc>
        <w:tc>
          <w:tcPr>
            <w:tcW w:w="2700" w:type="dxa"/>
          </w:tcPr>
          <w:p w14:paraId="47819AE9"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3</w:t>
            </w:r>
          </w:p>
        </w:tc>
      </w:tr>
      <w:tr w:rsidR="00047401" w14:paraId="6EACDB48" w14:textId="77777777" w:rsidTr="00A835B7">
        <w:tc>
          <w:tcPr>
            <w:tcW w:w="570" w:type="dxa"/>
            <w:vMerge w:val="restart"/>
          </w:tcPr>
          <w:p w14:paraId="7E30ED19" w14:textId="64A88663" w:rsidR="00047401" w:rsidRPr="00A835B7" w:rsidRDefault="001C3007" w:rsidP="00A835B7">
            <w:pPr>
              <w:spacing w:after="160"/>
              <w:rPr>
                <w:rStyle w:val="ui-provider"/>
                <w:rFonts w:ascii="Times New Roman" w:eastAsia="Arial" w:hAnsi="Times New Roman" w:cs="Times New Roman"/>
                <w:sz w:val="24"/>
                <w:szCs w:val="24"/>
                <w:lang w:val="ru-RU"/>
              </w:rPr>
            </w:pPr>
            <w:r>
              <w:rPr>
                <w:rStyle w:val="ui-provider"/>
                <w:rFonts w:ascii="Times New Roman" w:hAnsi="Times New Roman" w:cs="Times New Roman"/>
                <w:sz w:val="24"/>
                <w:szCs w:val="24"/>
              </w:rPr>
              <w:lastRenderedPageBreak/>
              <w:t>5</w:t>
            </w:r>
          </w:p>
        </w:tc>
        <w:tc>
          <w:tcPr>
            <w:tcW w:w="2038" w:type="dxa"/>
            <w:vMerge w:val="restart"/>
          </w:tcPr>
          <w:p w14:paraId="53CC1650" w14:textId="6D7D624C" w:rsidR="00047401" w:rsidRPr="00A835B7" w:rsidRDefault="00047401" w:rsidP="00A835B7">
            <w:pPr>
              <w:spacing w:after="160"/>
              <w:rPr>
                <w:rStyle w:val="ui-provider"/>
                <w:rFonts w:ascii="Times New Roman" w:eastAsia="Arial" w:hAnsi="Times New Roman" w:cs="Times New Roman"/>
                <w:sz w:val="24"/>
                <w:szCs w:val="24"/>
              </w:rPr>
            </w:pPr>
            <w:r w:rsidRPr="00A835B7">
              <w:rPr>
                <w:rStyle w:val="ui-provider"/>
                <w:rFonts w:ascii="Times New Roman" w:eastAsia="Arial" w:hAnsi="Times New Roman" w:cs="Times New Roman"/>
                <w:sz w:val="24"/>
                <w:szCs w:val="24"/>
              </w:rPr>
              <w:t>Advanced Payment Solutions Ltd.</w:t>
            </w:r>
          </w:p>
        </w:tc>
        <w:tc>
          <w:tcPr>
            <w:tcW w:w="4227" w:type="dxa"/>
          </w:tcPr>
          <w:p w14:paraId="5780CEAE"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STR</w:t>
            </w:r>
          </w:p>
        </w:tc>
        <w:tc>
          <w:tcPr>
            <w:tcW w:w="2700" w:type="dxa"/>
          </w:tcPr>
          <w:p w14:paraId="0385DE54"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0</w:t>
            </w:r>
          </w:p>
        </w:tc>
      </w:tr>
      <w:tr w:rsidR="00047401" w14:paraId="2F2A7A60" w14:textId="77777777" w:rsidTr="00A835B7">
        <w:tc>
          <w:tcPr>
            <w:tcW w:w="570" w:type="dxa"/>
            <w:vMerge/>
          </w:tcPr>
          <w:p w14:paraId="748827A4" w14:textId="77777777" w:rsidR="00047401" w:rsidRPr="00473767" w:rsidRDefault="00047401" w:rsidP="00A835B7">
            <w:pPr>
              <w:spacing w:after="160"/>
              <w:rPr>
                <w:rStyle w:val="ui-provider"/>
                <w:rFonts w:ascii="Times New Roman" w:hAnsi="Times New Roman" w:cs="Times New Roman"/>
                <w:sz w:val="24"/>
                <w:szCs w:val="24"/>
              </w:rPr>
            </w:pPr>
          </w:p>
        </w:tc>
        <w:tc>
          <w:tcPr>
            <w:tcW w:w="2038" w:type="dxa"/>
            <w:vMerge/>
          </w:tcPr>
          <w:p w14:paraId="78653CA8" w14:textId="3604E313" w:rsidR="00047401" w:rsidRPr="00A835B7" w:rsidRDefault="00047401" w:rsidP="00A835B7">
            <w:pPr>
              <w:spacing w:after="160"/>
              <w:rPr>
                <w:rStyle w:val="ui-provider"/>
                <w:rFonts w:ascii="Times New Roman" w:hAnsi="Times New Roman" w:cs="Times New Roman"/>
                <w:sz w:val="24"/>
                <w:szCs w:val="24"/>
              </w:rPr>
            </w:pPr>
          </w:p>
        </w:tc>
        <w:tc>
          <w:tcPr>
            <w:tcW w:w="4227" w:type="dxa"/>
          </w:tcPr>
          <w:p w14:paraId="5ED501A0"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TTR</w:t>
            </w:r>
          </w:p>
        </w:tc>
        <w:tc>
          <w:tcPr>
            <w:tcW w:w="2700" w:type="dxa"/>
          </w:tcPr>
          <w:p w14:paraId="2CAC3610" w14:textId="77777777" w:rsidR="00047401" w:rsidRPr="00A835B7" w:rsidRDefault="00047401" w:rsidP="00A835B7">
            <w:pPr>
              <w:spacing w:after="160"/>
              <w:rPr>
                <w:rFonts w:ascii="Times New Roman" w:eastAsia="Arial" w:hAnsi="Times New Roman" w:cs="Times New Roman"/>
                <w:sz w:val="24"/>
                <w:szCs w:val="24"/>
              </w:rPr>
            </w:pPr>
            <w:r w:rsidRPr="00A835B7">
              <w:rPr>
                <w:rFonts w:ascii="Times New Roman" w:eastAsia="Arial" w:hAnsi="Times New Roman" w:cs="Times New Roman"/>
                <w:sz w:val="24"/>
                <w:szCs w:val="24"/>
              </w:rPr>
              <w:t>235</w:t>
            </w:r>
          </w:p>
        </w:tc>
      </w:tr>
    </w:tbl>
    <w:p w14:paraId="1E87FCC3" w14:textId="77777777" w:rsidR="00870F51" w:rsidRDefault="00870F51" w:rsidP="003B475F">
      <w:pPr>
        <w:spacing w:line="360" w:lineRule="auto"/>
        <w:jc w:val="both"/>
        <w:rPr>
          <w:rFonts w:ascii="Arial" w:hAnsi="Arial" w:cs="Arial"/>
          <w:sz w:val="28"/>
          <w:szCs w:val="28"/>
          <w:lang w:val="ru-RU"/>
        </w:rPr>
      </w:pPr>
    </w:p>
    <w:p w14:paraId="2E802598" w14:textId="4D5D0CBF" w:rsidR="00FD3667" w:rsidRPr="007B3F28" w:rsidRDefault="00973A81">
      <w:pPr>
        <w:spacing w:line="360" w:lineRule="auto"/>
        <w:jc w:val="both"/>
        <w:rPr>
          <w:rStyle w:val="ui-provider"/>
          <w:rFonts w:ascii="Arial" w:eastAsiaTheme="minorEastAsia" w:hAnsi="Arial" w:cs="Arial"/>
          <w:sz w:val="28"/>
          <w:szCs w:val="28"/>
        </w:rPr>
      </w:pPr>
      <w:r>
        <w:rPr>
          <w:rStyle w:val="ui-provider"/>
          <w:rFonts w:ascii="Arial" w:eastAsiaTheme="minorEastAsia" w:hAnsi="Arial" w:cs="Arial"/>
          <w:sz w:val="28"/>
          <w:szCs w:val="28"/>
        </w:rPr>
        <w:t>Delta D</w:t>
      </w:r>
      <w:r w:rsidRPr="00ED368C">
        <w:rPr>
          <w:rStyle w:val="ui-provider"/>
          <w:rFonts w:ascii="Arial" w:eastAsiaTheme="minorEastAsia" w:hAnsi="Arial" w:cs="Arial"/>
          <w:sz w:val="28"/>
          <w:szCs w:val="28"/>
        </w:rPr>
        <w:t xml:space="preserve">A Ltd., </w:t>
      </w:r>
      <w:proofErr w:type="spellStart"/>
      <w:r w:rsidRPr="00ED368C">
        <w:rPr>
          <w:rStyle w:val="ui-provider"/>
          <w:rFonts w:ascii="Arial" w:eastAsiaTheme="minorEastAsia" w:hAnsi="Arial" w:cs="Arial"/>
          <w:sz w:val="28"/>
          <w:szCs w:val="28"/>
        </w:rPr>
        <w:t>Bigone</w:t>
      </w:r>
      <w:proofErr w:type="spellEnd"/>
      <w:r w:rsidRPr="00ED368C">
        <w:rPr>
          <w:rStyle w:val="ui-provider"/>
          <w:rFonts w:ascii="Arial" w:eastAsiaTheme="minorEastAsia" w:hAnsi="Arial" w:cs="Arial"/>
          <w:sz w:val="28"/>
          <w:szCs w:val="28"/>
        </w:rPr>
        <w:t xml:space="preserve"> Investment Ltd., </w:t>
      </w:r>
      <w:proofErr w:type="spellStart"/>
      <w:r w:rsidRPr="00ED368C">
        <w:rPr>
          <w:rStyle w:val="ui-provider"/>
          <w:rFonts w:ascii="Arial" w:eastAsiaTheme="minorEastAsia" w:hAnsi="Arial" w:cs="Arial"/>
          <w:sz w:val="28"/>
          <w:szCs w:val="28"/>
        </w:rPr>
        <w:t>Bybit</w:t>
      </w:r>
      <w:proofErr w:type="spellEnd"/>
      <w:r w:rsidRPr="00ED368C">
        <w:rPr>
          <w:rStyle w:val="ui-provider"/>
          <w:rFonts w:ascii="Arial" w:eastAsiaTheme="minorEastAsia" w:hAnsi="Arial" w:cs="Arial"/>
          <w:sz w:val="28"/>
          <w:szCs w:val="28"/>
        </w:rPr>
        <w:t xml:space="preserve"> Limited, and </w:t>
      </w:r>
      <w:proofErr w:type="spellStart"/>
      <w:r w:rsidRPr="00ED368C">
        <w:rPr>
          <w:rStyle w:val="ui-provider"/>
          <w:rFonts w:ascii="Arial" w:eastAsiaTheme="minorEastAsia" w:hAnsi="Arial" w:cs="Arial"/>
          <w:sz w:val="28"/>
          <w:szCs w:val="28"/>
        </w:rPr>
        <w:t>Paidax</w:t>
      </w:r>
      <w:proofErr w:type="spellEnd"/>
      <w:r w:rsidRPr="00ED368C">
        <w:rPr>
          <w:rStyle w:val="ui-provider"/>
          <w:rFonts w:ascii="Arial" w:eastAsiaTheme="minorEastAsia" w:hAnsi="Arial" w:cs="Arial"/>
          <w:sz w:val="28"/>
          <w:szCs w:val="28"/>
        </w:rPr>
        <w:t xml:space="preserve"> Limited</w:t>
      </w:r>
      <w:r w:rsidR="00BE2607" w:rsidRPr="00ED368C">
        <w:rPr>
          <w:rStyle w:val="ui-provider"/>
          <w:rFonts w:ascii="Arial" w:eastAsiaTheme="minorEastAsia" w:hAnsi="Arial" w:cs="Arial"/>
          <w:sz w:val="28"/>
          <w:szCs w:val="28"/>
        </w:rPr>
        <w:t xml:space="preserve">, </w:t>
      </w:r>
      <w:r w:rsidRPr="00ED368C">
        <w:rPr>
          <w:rStyle w:val="ui-provider"/>
          <w:rFonts w:ascii="Arial" w:eastAsiaTheme="minorEastAsia" w:hAnsi="Arial" w:cs="Arial"/>
          <w:sz w:val="28"/>
          <w:szCs w:val="28"/>
        </w:rPr>
        <w:t>were the DASPs license holders in the AIF</w:t>
      </w:r>
      <w:r w:rsidR="008D4671" w:rsidRPr="00ED368C">
        <w:rPr>
          <w:rStyle w:val="ui-provider"/>
          <w:rFonts w:ascii="Arial" w:eastAsiaTheme="minorEastAsia" w:hAnsi="Arial" w:cs="Arial"/>
          <w:sz w:val="28"/>
          <w:szCs w:val="28"/>
        </w:rPr>
        <w:t>C</w:t>
      </w:r>
      <w:r w:rsidRPr="00ED368C">
        <w:rPr>
          <w:rStyle w:val="ui-provider"/>
          <w:rFonts w:ascii="Arial" w:eastAsiaTheme="minorEastAsia" w:hAnsi="Arial" w:cs="Arial"/>
          <w:sz w:val="28"/>
          <w:szCs w:val="28"/>
        </w:rPr>
        <w:t xml:space="preserve"> in 2023</w:t>
      </w:r>
      <w:r w:rsidR="00BE2607" w:rsidRPr="00ED368C">
        <w:rPr>
          <w:rStyle w:val="ui-provider"/>
          <w:rFonts w:ascii="Arial" w:eastAsiaTheme="minorEastAsia" w:hAnsi="Arial" w:cs="Arial"/>
          <w:sz w:val="28"/>
          <w:szCs w:val="28"/>
        </w:rPr>
        <w:t xml:space="preserve">, </w:t>
      </w:r>
      <w:r w:rsidRPr="00ED368C">
        <w:rPr>
          <w:rStyle w:val="ui-provider"/>
          <w:rFonts w:ascii="Arial" w:eastAsiaTheme="minorEastAsia" w:hAnsi="Arial" w:cs="Arial"/>
          <w:sz w:val="28"/>
          <w:szCs w:val="28"/>
        </w:rPr>
        <w:t xml:space="preserve">however did not </w:t>
      </w:r>
      <w:r w:rsidR="00BE2607" w:rsidRPr="00ED368C">
        <w:rPr>
          <w:rStyle w:val="ui-provider"/>
          <w:rFonts w:ascii="Arial" w:eastAsiaTheme="minorEastAsia" w:hAnsi="Arial" w:cs="Arial"/>
          <w:sz w:val="28"/>
          <w:szCs w:val="28"/>
        </w:rPr>
        <w:t>carr</w:t>
      </w:r>
      <w:r w:rsidRPr="00ED368C">
        <w:rPr>
          <w:rStyle w:val="ui-provider"/>
          <w:rFonts w:ascii="Arial" w:eastAsiaTheme="minorEastAsia" w:hAnsi="Arial" w:cs="Arial"/>
          <w:sz w:val="28"/>
          <w:szCs w:val="28"/>
        </w:rPr>
        <w:t>y</w:t>
      </w:r>
      <w:r w:rsidR="00BE2607" w:rsidRPr="00ED368C">
        <w:rPr>
          <w:rStyle w:val="ui-provider"/>
          <w:rFonts w:ascii="Arial" w:eastAsiaTheme="minorEastAsia" w:hAnsi="Arial" w:cs="Arial"/>
          <w:sz w:val="28"/>
          <w:szCs w:val="28"/>
        </w:rPr>
        <w:t xml:space="preserve"> out</w:t>
      </w:r>
      <w:r w:rsidRPr="00ED368C">
        <w:rPr>
          <w:rStyle w:val="ui-provider"/>
          <w:rFonts w:ascii="Arial" w:eastAsiaTheme="minorEastAsia" w:hAnsi="Arial" w:cs="Arial"/>
          <w:sz w:val="28"/>
          <w:szCs w:val="28"/>
        </w:rPr>
        <w:t xml:space="preserve"> live operations</w:t>
      </w:r>
      <w:r w:rsidR="00BE2607" w:rsidRPr="00ED368C">
        <w:rPr>
          <w:rStyle w:val="ui-provider"/>
          <w:rFonts w:ascii="Arial" w:eastAsiaTheme="minorEastAsia" w:hAnsi="Arial" w:cs="Arial"/>
          <w:sz w:val="28"/>
          <w:szCs w:val="28"/>
        </w:rPr>
        <w:t xml:space="preserve"> </w:t>
      </w:r>
      <w:r w:rsidRPr="00ED368C">
        <w:rPr>
          <w:rStyle w:val="ui-provider"/>
          <w:rFonts w:ascii="Arial" w:eastAsiaTheme="minorEastAsia" w:hAnsi="Arial" w:cs="Arial"/>
          <w:sz w:val="28"/>
          <w:szCs w:val="28"/>
        </w:rPr>
        <w:t xml:space="preserve">due to the </w:t>
      </w:r>
      <w:r w:rsidR="00BE2607" w:rsidRPr="00ED368C">
        <w:rPr>
          <w:rStyle w:val="ui-provider"/>
          <w:rFonts w:ascii="Arial" w:eastAsiaTheme="minorEastAsia" w:hAnsi="Arial" w:cs="Arial"/>
          <w:sz w:val="28"/>
          <w:szCs w:val="28"/>
        </w:rPr>
        <w:t>preparatory work</w:t>
      </w:r>
      <w:r w:rsidRPr="00ED368C">
        <w:rPr>
          <w:rStyle w:val="ui-provider"/>
          <w:rFonts w:ascii="Arial" w:eastAsiaTheme="minorEastAsia" w:hAnsi="Arial" w:cs="Arial"/>
          <w:sz w:val="28"/>
          <w:szCs w:val="28"/>
        </w:rPr>
        <w:t>s</w:t>
      </w:r>
      <w:r w:rsidR="00BE2607" w:rsidRPr="00ED368C">
        <w:rPr>
          <w:rStyle w:val="ui-provider"/>
          <w:rFonts w:ascii="Arial" w:eastAsiaTheme="minorEastAsia" w:hAnsi="Arial" w:cs="Arial"/>
          <w:sz w:val="28"/>
          <w:szCs w:val="28"/>
        </w:rPr>
        <w:t>.</w:t>
      </w:r>
      <w:r w:rsidR="00BE2607">
        <w:rPr>
          <w:rStyle w:val="ui-provider"/>
          <w:rFonts w:ascii="Arial" w:eastAsiaTheme="minorEastAsia" w:hAnsi="Arial" w:cs="Arial"/>
          <w:sz w:val="28"/>
          <w:szCs w:val="28"/>
        </w:rPr>
        <w:t xml:space="preserve"> At the same time, 2 </w:t>
      </w:r>
      <w:r w:rsidR="007C1460">
        <w:rPr>
          <w:rStyle w:val="ui-provider"/>
          <w:rFonts w:ascii="Arial" w:eastAsiaTheme="minorEastAsia" w:hAnsi="Arial" w:cs="Arial"/>
          <w:sz w:val="28"/>
          <w:szCs w:val="28"/>
        </w:rPr>
        <w:t>DASPs</w:t>
      </w:r>
      <w:r w:rsidR="00BE2607">
        <w:rPr>
          <w:rStyle w:val="ui-provider"/>
          <w:rFonts w:ascii="Arial" w:eastAsiaTheme="minorEastAsia" w:hAnsi="Arial" w:cs="Arial"/>
          <w:sz w:val="28"/>
          <w:szCs w:val="28"/>
        </w:rPr>
        <w:t xml:space="preserve"> did not conduct transactions with </w:t>
      </w:r>
      <w:r w:rsidR="007C1460">
        <w:rPr>
          <w:rStyle w:val="ui-provider"/>
          <w:rFonts w:ascii="Arial" w:eastAsiaTheme="minorEastAsia" w:hAnsi="Arial" w:cs="Arial"/>
          <w:sz w:val="28"/>
          <w:szCs w:val="28"/>
        </w:rPr>
        <w:t>DA</w:t>
      </w:r>
      <w:r w:rsidR="00BE2607">
        <w:rPr>
          <w:rStyle w:val="ui-provider"/>
          <w:rFonts w:ascii="Arial" w:eastAsiaTheme="minorEastAsia" w:hAnsi="Arial" w:cs="Arial"/>
          <w:sz w:val="28"/>
          <w:szCs w:val="28"/>
        </w:rPr>
        <w:t xml:space="preserve"> due to suspended licenses: </w:t>
      </w:r>
      <w:proofErr w:type="spellStart"/>
      <w:r w:rsidR="00BE2607">
        <w:rPr>
          <w:rStyle w:val="ui-provider"/>
          <w:rFonts w:ascii="Arial" w:eastAsiaTheme="minorEastAsia" w:hAnsi="Arial" w:cs="Arial"/>
          <w:sz w:val="28"/>
          <w:szCs w:val="28"/>
        </w:rPr>
        <w:t>Xignal</w:t>
      </w:r>
      <w:proofErr w:type="spellEnd"/>
      <w:r w:rsidR="00BE2607">
        <w:rPr>
          <w:rStyle w:val="ui-provider"/>
          <w:rFonts w:ascii="Arial" w:eastAsiaTheme="minorEastAsia" w:hAnsi="Arial" w:cs="Arial"/>
          <w:sz w:val="28"/>
          <w:szCs w:val="28"/>
        </w:rPr>
        <w:t xml:space="preserve"> &amp; MT Ltd., and HWGC KZ Limited. As a result, these entities did not send reports on suspicious and threshold transactions to the authorized body.</w:t>
      </w:r>
    </w:p>
    <w:p w14:paraId="327FD4EA" w14:textId="2730201D" w:rsidR="11B753FC" w:rsidRPr="007B3F28" w:rsidRDefault="00704EBB" w:rsidP="00A835B7">
      <w:pPr>
        <w:spacing w:line="360" w:lineRule="auto"/>
        <w:jc w:val="both"/>
        <w:rPr>
          <w:rStyle w:val="ui-provider"/>
          <w:rFonts w:ascii="Arial" w:eastAsiaTheme="minorEastAsia" w:hAnsi="Arial" w:cs="Arial"/>
          <w:sz w:val="28"/>
          <w:szCs w:val="28"/>
        </w:rPr>
      </w:pPr>
      <w:proofErr w:type="spellStart"/>
      <w:r w:rsidRPr="00A835B7">
        <w:rPr>
          <w:rStyle w:val="ui-provider"/>
          <w:rFonts w:ascii="Arial" w:eastAsiaTheme="minorEastAsia" w:hAnsi="Arial" w:cs="Arial"/>
          <w:sz w:val="28"/>
          <w:szCs w:val="28"/>
        </w:rPr>
        <w:t>Biteeu</w:t>
      </w:r>
      <w:proofErr w:type="spellEnd"/>
      <w:r w:rsidRPr="00A835B7">
        <w:rPr>
          <w:rStyle w:val="ui-provider"/>
          <w:rFonts w:ascii="Arial" w:eastAsiaTheme="minorEastAsia" w:hAnsi="Arial" w:cs="Arial"/>
          <w:sz w:val="28"/>
          <w:szCs w:val="28"/>
        </w:rPr>
        <w:t xml:space="preserve"> Eurasia Ltd. </w:t>
      </w:r>
      <w:r w:rsidR="00B149E5">
        <w:rPr>
          <w:rStyle w:val="ui-provider"/>
          <w:rFonts w:ascii="Arial" w:eastAsiaTheme="minorEastAsia" w:hAnsi="Arial" w:cs="Arial"/>
          <w:sz w:val="28"/>
          <w:szCs w:val="28"/>
        </w:rPr>
        <w:t>had</w:t>
      </w:r>
      <w:r w:rsidRPr="00A835B7">
        <w:rPr>
          <w:rStyle w:val="ui-provider"/>
          <w:rFonts w:ascii="Arial" w:eastAsiaTheme="minorEastAsia" w:hAnsi="Arial" w:cs="Arial"/>
          <w:sz w:val="28"/>
          <w:szCs w:val="28"/>
        </w:rPr>
        <w:t xml:space="preserve"> a </w:t>
      </w:r>
      <w:r w:rsidR="00B149E5">
        <w:rPr>
          <w:rStyle w:val="ui-provider"/>
          <w:rFonts w:ascii="Arial" w:eastAsiaTheme="minorEastAsia" w:hAnsi="Arial" w:cs="Arial"/>
          <w:sz w:val="28"/>
          <w:szCs w:val="28"/>
        </w:rPr>
        <w:t>low</w:t>
      </w:r>
      <w:r w:rsidRPr="00A835B7">
        <w:rPr>
          <w:rStyle w:val="ui-provider"/>
          <w:rFonts w:ascii="Arial" w:eastAsiaTheme="minorEastAsia" w:hAnsi="Arial" w:cs="Arial"/>
          <w:sz w:val="28"/>
          <w:szCs w:val="28"/>
        </w:rPr>
        <w:t xml:space="preserve"> trading turnover in 2023. At the same time, for individual client transactions, their volume did not exceed the threshold level for the purposes of financial monitoring. In this regard, the company did not </w:t>
      </w:r>
      <w:r w:rsidR="001B0BDB">
        <w:rPr>
          <w:rStyle w:val="ui-provider"/>
          <w:rFonts w:ascii="Arial" w:eastAsiaTheme="minorEastAsia" w:hAnsi="Arial" w:cs="Arial"/>
          <w:sz w:val="28"/>
          <w:szCs w:val="28"/>
        </w:rPr>
        <w:t>submit</w:t>
      </w:r>
      <w:r w:rsidRPr="00A835B7">
        <w:rPr>
          <w:rStyle w:val="ui-provider"/>
          <w:rFonts w:ascii="Arial" w:eastAsiaTheme="minorEastAsia" w:hAnsi="Arial" w:cs="Arial"/>
          <w:sz w:val="28"/>
          <w:szCs w:val="28"/>
        </w:rPr>
        <w:t xml:space="preserve"> the relevant </w:t>
      </w:r>
      <w:r w:rsidR="001B0BDB">
        <w:rPr>
          <w:rStyle w:val="ui-provider"/>
          <w:rFonts w:ascii="Arial" w:eastAsiaTheme="minorEastAsia" w:hAnsi="Arial" w:cs="Arial"/>
          <w:sz w:val="28"/>
          <w:szCs w:val="28"/>
        </w:rPr>
        <w:t>reports</w:t>
      </w:r>
      <w:r w:rsidRPr="00A835B7">
        <w:rPr>
          <w:rStyle w:val="ui-provider"/>
          <w:rFonts w:ascii="Arial" w:eastAsiaTheme="minorEastAsia" w:hAnsi="Arial" w:cs="Arial"/>
          <w:sz w:val="28"/>
          <w:szCs w:val="28"/>
        </w:rPr>
        <w:t xml:space="preserve"> to the authorized body. A similar situation for individual client transactions was reported by Collect &amp; Exchange.</w:t>
      </w:r>
    </w:p>
    <w:p w14:paraId="2A1E49A5" w14:textId="283B550D" w:rsidR="22E73949" w:rsidRPr="007B3F28" w:rsidRDefault="5C0D4A6D" w:rsidP="00A835B7">
      <w:pPr>
        <w:spacing w:line="360" w:lineRule="auto"/>
        <w:jc w:val="both"/>
        <w:rPr>
          <w:rStyle w:val="ui-provider"/>
          <w:rFonts w:ascii="Arial" w:eastAsia="Arial" w:hAnsi="Arial" w:cs="Arial"/>
          <w:sz w:val="28"/>
          <w:szCs w:val="28"/>
        </w:rPr>
      </w:pPr>
      <w:proofErr w:type="spellStart"/>
      <w:r w:rsidRPr="68A3C7B1">
        <w:rPr>
          <w:rStyle w:val="ui-provider"/>
          <w:rFonts w:ascii="Arial" w:eastAsiaTheme="minorEastAsia" w:hAnsi="Arial" w:cs="Arial"/>
          <w:sz w:val="28"/>
          <w:szCs w:val="28"/>
        </w:rPr>
        <w:t>SkyBridge</w:t>
      </w:r>
      <w:proofErr w:type="spellEnd"/>
      <w:r w:rsidRPr="68A3C7B1">
        <w:rPr>
          <w:rStyle w:val="ui-provider"/>
          <w:rFonts w:ascii="Arial" w:eastAsiaTheme="minorEastAsia" w:hAnsi="Arial" w:cs="Arial"/>
          <w:sz w:val="28"/>
          <w:szCs w:val="28"/>
        </w:rPr>
        <w:t xml:space="preserve"> Digital Finance Ltd. and </w:t>
      </w:r>
      <w:r w:rsidRPr="68A3C7B1">
        <w:rPr>
          <w:rStyle w:val="ui-provider"/>
          <w:rFonts w:ascii="Arial" w:eastAsia="Arial" w:hAnsi="Arial" w:cs="Arial"/>
          <w:sz w:val="28"/>
          <w:szCs w:val="28"/>
        </w:rPr>
        <w:t>Top Line Limited</w:t>
      </w:r>
      <w:r w:rsidR="0896A501" w:rsidRPr="68A3C7B1">
        <w:rPr>
          <w:rStyle w:val="ui-provider"/>
          <w:rFonts w:ascii="Arial" w:eastAsiaTheme="minorEastAsia" w:hAnsi="Arial" w:cs="Arial"/>
          <w:sz w:val="28"/>
          <w:szCs w:val="28"/>
        </w:rPr>
        <w:t xml:space="preserve"> sent a small number of </w:t>
      </w:r>
      <w:r w:rsidR="437F77BA" w:rsidRPr="68A3C7B1">
        <w:rPr>
          <w:rStyle w:val="ui-provider"/>
          <w:rFonts w:ascii="Arial" w:eastAsiaTheme="minorEastAsia" w:hAnsi="Arial" w:cs="Arial"/>
          <w:sz w:val="28"/>
          <w:szCs w:val="28"/>
        </w:rPr>
        <w:t xml:space="preserve">reports </w:t>
      </w:r>
      <w:r w:rsidR="0896A501" w:rsidRPr="68A3C7B1">
        <w:rPr>
          <w:rStyle w:val="ui-provider"/>
          <w:rFonts w:ascii="Arial" w:eastAsiaTheme="minorEastAsia" w:hAnsi="Arial" w:cs="Arial"/>
          <w:sz w:val="28"/>
          <w:szCs w:val="28"/>
        </w:rPr>
        <w:t>due to the start of operations in Q4 2023 and low volume.</w:t>
      </w:r>
    </w:p>
    <w:p w14:paraId="736206AE" w14:textId="20EE8476" w:rsidR="008041AF" w:rsidRPr="007B3F28" w:rsidRDefault="461F7352">
      <w:pPr>
        <w:spacing w:line="360" w:lineRule="auto"/>
        <w:jc w:val="both"/>
        <w:rPr>
          <w:rStyle w:val="ui-provider"/>
          <w:rFonts w:ascii="Arial" w:eastAsia="Arial" w:hAnsi="Arial" w:cs="Arial"/>
          <w:sz w:val="28"/>
          <w:szCs w:val="28"/>
        </w:rPr>
      </w:pPr>
      <w:r w:rsidRPr="00A835B7">
        <w:rPr>
          <w:rStyle w:val="ui-provider"/>
          <w:rFonts w:ascii="Arial" w:eastAsia="Arial" w:hAnsi="Arial" w:cs="Arial"/>
          <w:sz w:val="28"/>
          <w:szCs w:val="28"/>
        </w:rPr>
        <w:t xml:space="preserve">Finally, for such </w:t>
      </w:r>
      <w:r w:rsidR="007C1460">
        <w:rPr>
          <w:rStyle w:val="ui-provider"/>
          <w:rFonts w:ascii="Arial" w:eastAsia="Arial" w:hAnsi="Arial" w:cs="Arial"/>
          <w:sz w:val="28"/>
          <w:szCs w:val="28"/>
        </w:rPr>
        <w:t>DASP</w:t>
      </w:r>
      <w:r w:rsidRPr="00A835B7">
        <w:rPr>
          <w:rStyle w:val="ui-provider"/>
          <w:rFonts w:ascii="Arial" w:eastAsia="Arial" w:hAnsi="Arial" w:cs="Arial"/>
          <w:sz w:val="28"/>
          <w:szCs w:val="28"/>
        </w:rPr>
        <w:t xml:space="preserve">s as BN KZ Technologies Limited, </w:t>
      </w:r>
      <w:proofErr w:type="spellStart"/>
      <w:r w:rsidRPr="00A835B7">
        <w:rPr>
          <w:rStyle w:val="ui-provider"/>
          <w:rFonts w:ascii="Arial" w:eastAsia="Arial" w:hAnsi="Arial" w:cs="Arial"/>
          <w:sz w:val="28"/>
          <w:szCs w:val="28"/>
        </w:rPr>
        <w:t>Ataix</w:t>
      </w:r>
      <w:proofErr w:type="spellEnd"/>
      <w:r w:rsidRPr="00A835B7">
        <w:rPr>
          <w:rStyle w:val="ui-provider"/>
          <w:rFonts w:ascii="Arial" w:eastAsia="Arial" w:hAnsi="Arial" w:cs="Arial"/>
          <w:sz w:val="28"/>
          <w:szCs w:val="28"/>
        </w:rPr>
        <w:t xml:space="preserve"> Eurasia Ltd., Advanced Payment Solutions Ltd., the number of </w:t>
      </w:r>
      <w:r w:rsidR="00B50ED6">
        <w:rPr>
          <w:rStyle w:val="ui-provider"/>
          <w:rFonts w:ascii="Arial" w:eastAsia="Arial" w:hAnsi="Arial" w:cs="Arial"/>
          <w:sz w:val="28"/>
          <w:szCs w:val="28"/>
        </w:rPr>
        <w:t>reports</w:t>
      </w:r>
      <w:r w:rsidRPr="00A835B7">
        <w:rPr>
          <w:rStyle w:val="ui-provider"/>
          <w:rFonts w:ascii="Arial" w:eastAsia="Arial" w:hAnsi="Arial" w:cs="Arial"/>
          <w:sz w:val="28"/>
          <w:szCs w:val="28"/>
        </w:rPr>
        <w:t xml:space="preserve"> </w:t>
      </w:r>
      <w:r w:rsidR="00B50ED6">
        <w:rPr>
          <w:rStyle w:val="ui-provider"/>
          <w:rFonts w:ascii="Arial" w:eastAsia="Arial" w:hAnsi="Arial" w:cs="Arial"/>
          <w:sz w:val="28"/>
          <w:szCs w:val="28"/>
        </w:rPr>
        <w:t>submitted</w:t>
      </w:r>
      <w:r w:rsidRPr="00A835B7">
        <w:rPr>
          <w:rStyle w:val="ui-provider"/>
          <w:rFonts w:ascii="Arial" w:eastAsia="Arial" w:hAnsi="Arial" w:cs="Arial"/>
          <w:sz w:val="28"/>
          <w:szCs w:val="28"/>
        </w:rPr>
        <w:t xml:space="preserve"> to the authorized body is significantly higher due to the large volume of the customer base and transactions compared to other AIFC </w:t>
      </w:r>
      <w:r w:rsidR="007C1460">
        <w:rPr>
          <w:rStyle w:val="ui-provider"/>
          <w:rFonts w:ascii="Arial" w:eastAsia="Arial" w:hAnsi="Arial" w:cs="Arial"/>
          <w:sz w:val="28"/>
          <w:szCs w:val="28"/>
        </w:rPr>
        <w:t>DASP</w:t>
      </w:r>
      <w:r w:rsidRPr="00A835B7">
        <w:rPr>
          <w:rStyle w:val="ui-provider"/>
          <w:rFonts w:ascii="Arial" w:eastAsia="Arial" w:hAnsi="Arial" w:cs="Arial"/>
          <w:sz w:val="28"/>
          <w:szCs w:val="28"/>
        </w:rPr>
        <w:t>s.</w:t>
      </w:r>
    </w:p>
    <w:p w14:paraId="70398E0D" w14:textId="58A7F6A9" w:rsidR="00855763" w:rsidRPr="007B3F28" w:rsidRDefault="232AAE5D" w:rsidP="00A835B7">
      <w:pPr>
        <w:spacing w:line="360" w:lineRule="auto"/>
        <w:jc w:val="both"/>
        <w:rPr>
          <w:rStyle w:val="ui-provider"/>
          <w:rFonts w:ascii="Arial" w:eastAsia="Arial" w:hAnsi="Arial" w:cs="Arial"/>
          <w:sz w:val="28"/>
          <w:szCs w:val="28"/>
        </w:rPr>
      </w:pPr>
      <w:r w:rsidRPr="00855763">
        <w:rPr>
          <w:rStyle w:val="ui-provider"/>
          <w:rFonts w:ascii="Arial" w:eastAsia="Arial" w:hAnsi="Arial" w:cs="Arial"/>
          <w:sz w:val="28"/>
          <w:szCs w:val="28"/>
        </w:rPr>
        <w:t xml:space="preserve">In addition, an analysis of suspicious transaction reports sent by all </w:t>
      </w:r>
      <w:r w:rsidR="07471D37">
        <w:rPr>
          <w:rStyle w:val="ui-provider"/>
          <w:rFonts w:ascii="Arial" w:eastAsia="Arial" w:hAnsi="Arial" w:cs="Arial"/>
          <w:sz w:val="28"/>
          <w:szCs w:val="28"/>
        </w:rPr>
        <w:t>DASP</w:t>
      </w:r>
      <w:r w:rsidRPr="00855763">
        <w:rPr>
          <w:rStyle w:val="ui-provider"/>
          <w:rFonts w:ascii="Arial" w:eastAsia="Arial" w:hAnsi="Arial" w:cs="Arial"/>
          <w:sz w:val="28"/>
          <w:szCs w:val="28"/>
        </w:rPr>
        <w:t>s shows that the prevailing number of reports (</w:t>
      </w:r>
      <w:r w:rsidR="51BB72DA" w:rsidRPr="68A3C7B1">
        <w:rPr>
          <w:rStyle w:val="ui-provider"/>
          <w:rFonts w:ascii="Arial" w:eastAsia="Arial" w:hAnsi="Arial" w:cs="Arial"/>
          <w:sz w:val="28"/>
          <w:szCs w:val="28"/>
        </w:rPr>
        <w:t xml:space="preserve">approx. </w:t>
      </w:r>
      <w:r w:rsidRPr="00855763">
        <w:rPr>
          <w:rStyle w:val="ui-provider"/>
          <w:rFonts w:ascii="Arial" w:eastAsia="Arial" w:hAnsi="Arial" w:cs="Arial"/>
          <w:sz w:val="28"/>
          <w:szCs w:val="28"/>
        </w:rPr>
        <w:t>98%) relate to transactions related to customer funds received from a digital asset exchange or are sent to a digital asset exchange that is not registered in the country or territory where this client or exchange</w:t>
      </w:r>
      <w:r w:rsidR="00855763" w:rsidRPr="00855763">
        <w:rPr>
          <w:rStyle w:val="FootnoteReference"/>
          <w:rFonts w:ascii="Arial" w:eastAsia="Arial" w:hAnsi="Arial" w:cs="Arial"/>
          <w:sz w:val="28"/>
          <w:szCs w:val="28"/>
        </w:rPr>
        <w:footnoteReference w:id="4"/>
      </w:r>
      <w:r w:rsidR="07471D37">
        <w:rPr>
          <w:rStyle w:val="ui-provider"/>
          <w:rFonts w:ascii="Arial" w:eastAsia="Arial" w:hAnsi="Arial" w:cs="Arial"/>
          <w:sz w:val="28"/>
          <w:szCs w:val="28"/>
        </w:rPr>
        <w:t xml:space="preserve"> i</w:t>
      </w:r>
      <w:r w:rsidRPr="00855763">
        <w:rPr>
          <w:rStyle w:val="ui-provider"/>
          <w:rFonts w:ascii="Arial" w:eastAsia="Arial" w:hAnsi="Arial" w:cs="Arial"/>
          <w:sz w:val="28"/>
          <w:szCs w:val="28"/>
        </w:rPr>
        <w:t xml:space="preserve">s located. Other suspicious transaction reports were made in connection with the refusal to </w:t>
      </w:r>
      <w:r w:rsidRPr="00855763">
        <w:rPr>
          <w:rStyle w:val="ui-provider"/>
          <w:rFonts w:ascii="Arial" w:eastAsia="Arial" w:hAnsi="Arial" w:cs="Arial"/>
          <w:sz w:val="28"/>
          <w:szCs w:val="28"/>
        </w:rPr>
        <w:lastRenderedPageBreak/>
        <w:t>establish a business relationship; as part of the termination of the business relationship; refusal to make a transaction; transactions to make a large initial deposit when establishing new relations with persons engaged in the issuance of digital assets, organizing trading in them, as well as the provision of services for the exchange of digital assets for money, valuables and other property (</w:t>
      </w:r>
      <w:r w:rsidR="63D4AA4A" w:rsidRPr="00ED368C">
        <w:rPr>
          <w:rStyle w:val="ui-provider"/>
          <w:rFonts w:ascii="Arial" w:eastAsia="Arial" w:hAnsi="Arial" w:cs="Arial"/>
          <w:sz w:val="28"/>
          <w:szCs w:val="28"/>
        </w:rPr>
        <w:t>V</w:t>
      </w:r>
      <w:r w:rsidRPr="00ED368C">
        <w:rPr>
          <w:rStyle w:val="ui-provider"/>
          <w:rFonts w:ascii="Arial" w:eastAsia="Arial" w:hAnsi="Arial" w:cs="Arial"/>
          <w:sz w:val="28"/>
          <w:szCs w:val="28"/>
        </w:rPr>
        <w:t>ASP),</w:t>
      </w:r>
      <w:r w:rsidRPr="00855763">
        <w:rPr>
          <w:rStyle w:val="ui-provider"/>
          <w:rFonts w:ascii="Arial" w:eastAsia="Arial" w:hAnsi="Arial" w:cs="Arial"/>
          <w:sz w:val="28"/>
          <w:szCs w:val="28"/>
        </w:rPr>
        <w:t xml:space="preserve"> the amount of which does not correspond to the client's profile and/or the withdrawal of assets without additional transactions, or as soon as possible after their appearance on the account; transactions with digital asset addresses or bank cards associated with known fraud scams, extortion or the use of ransomware, with darknet marketplaces and other illegal websites, with addresses under sanctions.</w:t>
      </w:r>
    </w:p>
    <w:p w14:paraId="659E4927" w14:textId="7EBC699C" w:rsidR="461F7352" w:rsidRPr="007B3F28" w:rsidRDefault="6FE20924" w:rsidP="00A835B7">
      <w:pPr>
        <w:spacing w:line="360" w:lineRule="auto"/>
        <w:jc w:val="both"/>
        <w:rPr>
          <w:rStyle w:val="ui-provider"/>
          <w:rFonts w:ascii="Arial" w:eastAsia="Arial" w:hAnsi="Arial" w:cs="Arial"/>
          <w:sz w:val="28"/>
          <w:szCs w:val="28"/>
        </w:rPr>
      </w:pPr>
      <w:r w:rsidRPr="68A3C7B1">
        <w:rPr>
          <w:rStyle w:val="ui-provider"/>
          <w:rFonts w:ascii="Arial" w:eastAsia="Arial" w:hAnsi="Arial" w:cs="Arial"/>
          <w:sz w:val="28"/>
          <w:szCs w:val="28"/>
        </w:rPr>
        <w:t xml:space="preserve">In general, the number of reports of threshold and suspicious transactions remains insignificant due to the special regime of the AIFC regulatory sandbox, which (1) limits the set of transactions of clients with </w:t>
      </w:r>
      <w:r w:rsidR="4F9ACE1A" w:rsidRPr="68A3C7B1">
        <w:rPr>
          <w:rStyle w:val="ui-provider"/>
          <w:rFonts w:ascii="Arial" w:eastAsia="Arial" w:hAnsi="Arial" w:cs="Arial"/>
          <w:sz w:val="28"/>
          <w:szCs w:val="28"/>
        </w:rPr>
        <w:t>DA</w:t>
      </w:r>
      <w:r w:rsidR="6EEE7145" w:rsidRPr="68A3C7B1">
        <w:rPr>
          <w:rStyle w:val="ui-provider"/>
          <w:rFonts w:ascii="Arial" w:eastAsia="Arial" w:hAnsi="Arial" w:cs="Arial"/>
          <w:sz w:val="28"/>
          <w:szCs w:val="28"/>
        </w:rPr>
        <w:t>s</w:t>
      </w:r>
      <w:r w:rsidRPr="68A3C7B1">
        <w:rPr>
          <w:rStyle w:val="ui-provider"/>
          <w:rFonts w:ascii="Arial" w:eastAsia="Arial" w:hAnsi="Arial" w:cs="Arial"/>
          <w:sz w:val="28"/>
          <w:szCs w:val="28"/>
        </w:rPr>
        <w:t xml:space="preserve">, and (2) sets low limits on the </w:t>
      </w:r>
      <w:r w:rsidR="1B5397FC" w:rsidRPr="68A3C7B1">
        <w:rPr>
          <w:rStyle w:val="ui-provider"/>
          <w:rFonts w:ascii="Arial" w:eastAsia="Arial" w:hAnsi="Arial" w:cs="Arial"/>
          <w:sz w:val="28"/>
          <w:szCs w:val="28"/>
        </w:rPr>
        <w:t>number</w:t>
      </w:r>
      <w:r w:rsidRPr="68A3C7B1">
        <w:rPr>
          <w:rStyle w:val="ui-provider"/>
          <w:rFonts w:ascii="Arial" w:eastAsia="Arial" w:hAnsi="Arial" w:cs="Arial"/>
          <w:sz w:val="28"/>
          <w:szCs w:val="28"/>
        </w:rPr>
        <w:t xml:space="preserve"> of transactions of retail clients at the level of US$1000.</w:t>
      </w:r>
    </w:p>
    <w:p w14:paraId="53148C2E" w14:textId="33FE13B6" w:rsidR="325BB2E9" w:rsidRPr="007B3F28" w:rsidRDefault="325BB2E9" w:rsidP="325BB2E9">
      <w:pPr>
        <w:rPr>
          <w:rStyle w:val="ui-provider"/>
          <w:rFonts w:ascii="Times New Roman" w:eastAsia="Arial" w:hAnsi="Times New Roman" w:cs="Times New Roman"/>
          <w:sz w:val="24"/>
          <w:szCs w:val="24"/>
        </w:rPr>
      </w:pPr>
    </w:p>
    <w:p w14:paraId="157DAE29" w14:textId="59B971E8" w:rsidR="325BB2E9" w:rsidRPr="007B3F28" w:rsidRDefault="325BB2E9" w:rsidP="325BB2E9">
      <w:pPr>
        <w:rPr>
          <w:rStyle w:val="ui-provider"/>
          <w:rFonts w:ascii="Times New Roman" w:eastAsia="Arial" w:hAnsi="Times New Roman" w:cs="Times New Roman"/>
          <w:sz w:val="24"/>
          <w:szCs w:val="24"/>
        </w:rPr>
      </w:pPr>
    </w:p>
    <w:p w14:paraId="3837CF01" w14:textId="77777777" w:rsidR="00047401" w:rsidRPr="007B3F28" w:rsidRDefault="00047401" w:rsidP="325BB2E9">
      <w:pPr>
        <w:rPr>
          <w:rStyle w:val="ui-provider"/>
          <w:rFonts w:ascii="Times New Roman" w:eastAsia="Arial" w:hAnsi="Times New Roman" w:cs="Times New Roman"/>
          <w:sz w:val="24"/>
          <w:szCs w:val="24"/>
        </w:rPr>
      </w:pPr>
    </w:p>
    <w:p w14:paraId="5CC46C48" w14:textId="77777777" w:rsidR="00047401" w:rsidRPr="007B3F28" w:rsidRDefault="00047401" w:rsidP="325BB2E9">
      <w:pPr>
        <w:rPr>
          <w:rStyle w:val="ui-provider"/>
          <w:rFonts w:ascii="Times New Roman" w:eastAsia="Arial" w:hAnsi="Times New Roman" w:cs="Times New Roman"/>
          <w:sz w:val="24"/>
          <w:szCs w:val="24"/>
        </w:rPr>
      </w:pPr>
    </w:p>
    <w:p w14:paraId="295043C6" w14:textId="77777777" w:rsidR="00786053" w:rsidRPr="007B3F28" w:rsidRDefault="00786053" w:rsidP="003B475F">
      <w:pPr>
        <w:spacing w:line="360" w:lineRule="auto"/>
        <w:jc w:val="both"/>
        <w:rPr>
          <w:rFonts w:ascii="Arial" w:hAnsi="Arial" w:cs="Arial"/>
          <w:sz w:val="28"/>
          <w:szCs w:val="28"/>
        </w:rPr>
      </w:pPr>
    </w:p>
    <w:p w14:paraId="06CDCB6D" w14:textId="77777777" w:rsidR="00D12FAD" w:rsidRPr="007B3F28" w:rsidRDefault="00D12FAD" w:rsidP="003B475F">
      <w:pPr>
        <w:spacing w:line="360" w:lineRule="auto"/>
        <w:jc w:val="both"/>
        <w:rPr>
          <w:rFonts w:ascii="Arial" w:hAnsi="Arial" w:cs="Arial"/>
          <w:sz w:val="28"/>
          <w:szCs w:val="28"/>
        </w:rPr>
      </w:pPr>
    </w:p>
    <w:p w14:paraId="7F14D631" w14:textId="77777777" w:rsidR="00D12FAD" w:rsidRPr="007B3F28" w:rsidRDefault="00D12FAD" w:rsidP="003B475F">
      <w:pPr>
        <w:spacing w:line="360" w:lineRule="auto"/>
        <w:jc w:val="both"/>
        <w:rPr>
          <w:rFonts w:ascii="Arial" w:hAnsi="Arial" w:cs="Arial"/>
          <w:sz w:val="28"/>
          <w:szCs w:val="28"/>
        </w:rPr>
      </w:pPr>
    </w:p>
    <w:p w14:paraId="61754DFA" w14:textId="77777777" w:rsidR="00D12FAD" w:rsidRDefault="00D12FAD" w:rsidP="003B475F">
      <w:pPr>
        <w:spacing w:line="360" w:lineRule="auto"/>
        <w:jc w:val="both"/>
        <w:rPr>
          <w:rFonts w:ascii="Arial" w:hAnsi="Arial" w:cs="Arial"/>
          <w:sz w:val="28"/>
          <w:szCs w:val="28"/>
        </w:rPr>
      </w:pPr>
    </w:p>
    <w:p w14:paraId="06DE4E89" w14:textId="77777777" w:rsidR="00ED368C" w:rsidRDefault="00ED368C" w:rsidP="003B475F">
      <w:pPr>
        <w:spacing w:line="360" w:lineRule="auto"/>
        <w:jc w:val="both"/>
        <w:rPr>
          <w:rFonts w:ascii="Arial" w:hAnsi="Arial" w:cs="Arial"/>
          <w:sz w:val="28"/>
          <w:szCs w:val="28"/>
        </w:rPr>
      </w:pPr>
    </w:p>
    <w:p w14:paraId="1D2E16FD" w14:textId="77777777" w:rsidR="00ED368C" w:rsidRDefault="00ED368C" w:rsidP="003B475F">
      <w:pPr>
        <w:spacing w:line="360" w:lineRule="auto"/>
        <w:jc w:val="both"/>
        <w:rPr>
          <w:rFonts w:ascii="Arial" w:hAnsi="Arial" w:cs="Arial"/>
          <w:sz w:val="28"/>
          <w:szCs w:val="28"/>
        </w:rPr>
      </w:pPr>
    </w:p>
    <w:p w14:paraId="51A504BE" w14:textId="77777777" w:rsidR="00ED368C" w:rsidRPr="007B3F28" w:rsidRDefault="00ED368C" w:rsidP="003B475F">
      <w:pPr>
        <w:spacing w:line="360" w:lineRule="auto"/>
        <w:jc w:val="both"/>
        <w:rPr>
          <w:rFonts w:ascii="Arial" w:hAnsi="Arial" w:cs="Arial"/>
          <w:sz w:val="28"/>
          <w:szCs w:val="28"/>
        </w:rPr>
      </w:pPr>
    </w:p>
    <w:p w14:paraId="0CDD7811" w14:textId="0D210605" w:rsidR="00DF4BA4" w:rsidRPr="002C6127" w:rsidRDefault="00DF4BA4" w:rsidP="003B475F">
      <w:pPr>
        <w:pStyle w:val="ListParagraph"/>
        <w:numPr>
          <w:ilvl w:val="0"/>
          <w:numId w:val="4"/>
        </w:numPr>
        <w:spacing w:line="360" w:lineRule="auto"/>
        <w:ind w:left="0" w:firstLine="0"/>
        <w:contextualSpacing w:val="0"/>
        <w:jc w:val="both"/>
        <w:outlineLvl w:val="0"/>
        <w:rPr>
          <w:rFonts w:ascii="Arial" w:hAnsi="Arial" w:cs="Arial"/>
          <w:b/>
          <w:bCs/>
          <w:sz w:val="28"/>
          <w:szCs w:val="28"/>
          <w:lang w:val="ru-RU"/>
        </w:rPr>
      </w:pPr>
      <w:bookmarkStart w:id="1" w:name="_Toc170314414"/>
      <w:r w:rsidRPr="002C6127">
        <w:rPr>
          <w:rFonts w:ascii="Arial" w:hAnsi="Arial" w:cs="Arial"/>
          <w:b/>
          <w:bCs/>
          <w:sz w:val="28"/>
          <w:szCs w:val="28"/>
        </w:rPr>
        <w:lastRenderedPageBreak/>
        <w:t>CHARACTERISTICS OF THREATS</w:t>
      </w:r>
      <w:bookmarkEnd w:id="1"/>
    </w:p>
    <w:p w14:paraId="42336C63" w14:textId="0E0497DA" w:rsidR="00114279" w:rsidRPr="007B3F28" w:rsidRDefault="00114279" w:rsidP="003B475F">
      <w:pPr>
        <w:spacing w:line="360" w:lineRule="auto"/>
        <w:jc w:val="both"/>
        <w:rPr>
          <w:rFonts w:ascii="Arial" w:hAnsi="Arial" w:cs="Arial"/>
          <w:sz w:val="28"/>
          <w:szCs w:val="28"/>
        </w:rPr>
      </w:pPr>
      <w:r w:rsidRPr="335D007E">
        <w:rPr>
          <w:rFonts w:ascii="Arial" w:hAnsi="Arial" w:cs="Arial"/>
          <w:sz w:val="28"/>
          <w:szCs w:val="28"/>
        </w:rPr>
        <w:t>As part of the sectoral</w:t>
      </w:r>
      <w:r w:rsidR="00D62AD2" w:rsidRPr="00D62AD2">
        <w:rPr>
          <w:rFonts w:ascii="Arial" w:hAnsi="Arial" w:cs="Arial"/>
          <w:sz w:val="28"/>
          <w:szCs w:val="28"/>
        </w:rPr>
        <w:t xml:space="preserve"> </w:t>
      </w:r>
      <w:r w:rsidR="00D62AD2">
        <w:rPr>
          <w:rFonts w:ascii="Arial" w:hAnsi="Arial" w:cs="Arial"/>
          <w:sz w:val="28"/>
          <w:szCs w:val="28"/>
        </w:rPr>
        <w:t>risk</w:t>
      </w:r>
      <w:r w:rsidRPr="335D007E">
        <w:rPr>
          <w:rFonts w:ascii="Arial" w:hAnsi="Arial" w:cs="Arial"/>
          <w:sz w:val="28"/>
          <w:szCs w:val="28"/>
        </w:rPr>
        <w:t xml:space="preserve"> assessment of ML/TF, a study was carried out on the presence of threats of involvement of entities in the </w:t>
      </w:r>
      <w:r w:rsidR="001115E2">
        <w:rPr>
          <w:rFonts w:ascii="Arial" w:hAnsi="Arial" w:cs="Arial"/>
          <w:sz w:val="28"/>
          <w:szCs w:val="28"/>
        </w:rPr>
        <w:t xml:space="preserve">DA </w:t>
      </w:r>
      <w:r w:rsidRPr="335D007E">
        <w:rPr>
          <w:rFonts w:ascii="Arial" w:hAnsi="Arial" w:cs="Arial"/>
          <w:sz w:val="28"/>
          <w:szCs w:val="28"/>
        </w:rPr>
        <w:t xml:space="preserve">sector in criminal activities using ML/TF typologies. </w:t>
      </w:r>
    </w:p>
    <w:p w14:paraId="136A404E" w14:textId="618ED196" w:rsidR="576E4F52" w:rsidRPr="007B3F28" w:rsidRDefault="002E6D2A" w:rsidP="003B475F">
      <w:pPr>
        <w:spacing w:line="360" w:lineRule="auto"/>
        <w:jc w:val="both"/>
        <w:rPr>
          <w:rFonts w:ascii="Arial" w:hAnsi="Arial" w:cs="Arial"/>
          <w:sz w:val="24"/>
          <w:szCs w:val="24"/>
        </w:rPr>
      </w:pPr>
      <w:r w:rsidRPr="325BB2E9">
        <w:rPr>
          <w:rFonts w:ascii="Arial" w:hAnsi="Arial" w:cs="Arial"/>
          <w:sz w:val="28"/>
          <w:szCs w:val="28"/>
        </w:rPr>
        <w:t xml:space="preserve">Particular attention to the </w:t>
      </w:r>
      <w:r w:rsidR="00D62AD2">
        <w:rPr>
          <w:rFonts w:ascii="Arial" w:hAnsi="Arial" w:cs="Arial"/>
          <w:sz w:val="28"/>
          <w:szCs w:val="28"/>
        </w:rPr>
        <w:t>DA</w:t>
      </w:r>
      <w:r w:rsidRPr="325BB2E9">
        <w:rPr>
          <w:rFonts w:ascii="Arial" w:hAnsi="Arial" w:cs="Arial"/>
          <w:sz w:val="28"/>
          <w:szCs w:val="28"/>
        </w:rPr>
        <w:t xml:space="preserve"> sector is caused by the steady growth of </w:t>
      </w:r>
      <w:r w:rsidR="00AA4A70">
        <w:rPr>
          <w:rFonts w:ascii="Arial" w:hAnsi="Arial" w:cs="Arial"/>
          <w:sz w:val="28"/>
          <w:szCs w:val="28"/>
        </w:rPr>
        <w:t xml:space="preserve">platform </w:t>
      </w:r>
      <w:r w:rsidRPr="325BB2E9">
        <w:rPr>
          <w:rFonts w:ascii="Arial" w:hAnsi="Arial" w:cs="Arial"/>
          <w:sz w:val="28"/>
          <w:szCs w:val="28"/>
        </w:rPr>
        <w:t xml:space="preserve">users </w:t>
      </w:r>
      <w:r w:rsidR="003768EC">
        <w:rPr>
          <w:rFonts w:ascii="Arial" w:hAnsi="Arial" w:cs="Arial"/>
          <w:sz w:val="28"/>
          <w:szCs w:val="28"/>
        </w:rPr>
        <w:t>–</w:t>
      </w:r>
      <w:r w:rsidRPr="325BB2E9">
        <w:rPr>
          <w:rFonts w:ascii="Arial" w:hAnsi="Arial" w:cs="Arial"/>
          <w:sz w:val="28"/>
          <w:szCs w:val="28"/>
        </w:rPr>
        <w:t xml:space="preserve"> </w:t>
      </w:r>
      <w:r w:rsidR="003768EC">
        <w:rPr>
          <w:rFonts w:ascii="Arial" w:hAnsi="Arial" w:cs="Arial"/>
          <w:sz w:val="28"/>
          <w:szCs w:val="28"/>
        </w:rPr>
        <w:t xml:space="preserve">clients of </w:t>
      </w:r>
      <w:r w:rsidR="00D62AD2">
        <w:rPr>
          <w:rFonts w:ascii="Arial" w:hAnsi="Arial" w:cs="Arial"/>
          <w:sz w:val="28"/>
          <w:szCs w:val="28"/>
        </w:rPr>
        <w:t>DASPs</w:t>
      </w:r>
      <w:r w:rsidRPr="325BB2E9">
        <w:rPr>
          <w:rFonts w:ascii="Arial" w:hAnsi="Arial" w:cs="Arial"/>
          <w:sz w:val="28"/>
          <w:szCs w:val="28"/>
        </w:rPr>
        <w:t xml:space="preserve"> registered in the AIFC. Thus, for the period from December 2022 to December 2023, the number of clients of the AIFC </w:t>
      </w:r>
      <w:r w:rsidR="00D62AD2">
        <w:rPr>
          <w:rFonts w:ascii="Arial" w:hAnsi="Arial" w:cs="Arial"/>
          <w:sz w:val="28"/>
          <w:szCs w:val="28"/>
        </w:rPr>
        <w:t>DA</w:t>
      </w:r>
      <w:r w:rsidRPr="325BB2E9">
        <w:rPr>
          <w:rFonts w:ascii="Arial" w:hAnsi="Arial" w:cs="Arial"/>
          <w:sz w:val="28"/>
          <w:szCs w:val="28"/>
        </w:rPr>
        <w:t xml:space="preserve"> exchanges increased by more than 8 times. </w:t>
      </w:r>
    </w:p>
    <w:p w14:paraId="01786284" w14:textId="71436D0E" w:rsidR="006E4DA4" w:rsidRPr="007B3F28" w:rsidRDefault="00D62AD2" w:rsidP="003B475F">
      <w:pPr>
        <w:spacing w:line="360" w:lineRule="auto"/>
        <w:jc w:val="both"/>
        <w:rPr>
          <w:rFonts w:ascii="Arial" w:hAnsi="Arial" w:cs="Arial"/>
          <w:sz w:val="28"/>
          <w:szCs w:val="28"/>
        </w:rPr>
      </w:pPr>
      <w:r w:rsidRPr="00D62AD2">
        <w:rPr>
          <w:rFonts w:ascii="Arial" w:hAnsi="Arial" w:cs="Arial"/>
          <w:sz w:val="28"/>
          <w:szCs w:val="28"/>
        </w:rPr>
        <w:t xml:space="preserve">Considering the characteristics of </w:t>
      </w:r>
      <w:r>
        <w:rPr>
          <w:rFonts w:ascii="Arial" w:hAnsi="Arial" w:cs="Arial"/>
          <w:sz w:val="28"/>
          <w:szCs w:val="28"/>
        </w:rPr>
        <w:t>DA</w:t>
      </w:r>
      <w:r w:rsidRPr="00D62AD2">
        <w:rPr>
          <w:rFonts w:ascii="Arial" w:hAnsi="Arial" w:cs="Arial"/>
          <w:sz w:val="28"/>
          <w:szCs w:val="28"/>
        </w:rPr>
        <w:t xml:space="preserve">, the following threats associated with the use of </w:t>
      </w:r>
      <w:r>
        <w:rPr>
          <w:rFonts w:ascii="Arial" w:hAnsi="Arial" w:cs="Arial"/>
          <w:sz w:val="28"/>
          <w:szCs w:val="28"/>
        </w:rPr>
        <w:t>DA</w:t>
      </w:r>
      <w:r w:rsidRPr="00D62AD2">
        <w:rPr>
          <w:rFonts w:ascii="Arial" w:hAnsi="Arial" w:cs="Arial"/>
          <w:sz w:val="28"/>
          <w:szCs w:val="28"/>
        </w:rPr>
        <w:t xml:space="preserve"> and DASPs for potential ML/TF purposes have been identified</w:t>
      </w:r>
      <w:r w:rsidR="005556C4">
        <w:rPr>
          <w:rFonts w:ascii="Arial" w:hAnsi="Arial" w:cs="Arial"/>
          <w:sz w:val="28"/>
          <w:szCs w:val="28"/>
        </w:rPr>
        <w:t xml:space="preserve">: </w:t>
      </w:r>
    </w:p>
    <w:p w14:paraId="5537E953" w14:textId="17470648" w:rsidR="006E4DA4" w:rsidRPr="007B3F28" w:rsidRDefault="00895854" w:rsidP="003B475F">
      <w:pPr>
        <w:pStyle w:val="ListParagraph"/>
        <w:numPr>
          <w:ilvl w:val="0"/>
          <w:numId w:val="12"/>
        </w:numPr>
        <w:spacing w:line="360" w:lineRule="auto"/>
        <w:jc w:val="both"/>
        <w:rPr>
          <w:rFonts w:ascii="Arial" w:hAnsi="Arial" w:cs="Arial"/>
          <w:sz w:val="28"/>
          <w:szCs w:val="28"/>
        </w:rPr>
      </w:pPr>
      <w:r w:rsidRPr="000A0A6D">
        <w:rPr>
          <w:rFonts w:ascii="Arial" w:hAnsi="Arial" w:cs="Arial"/>
          <w:sz w:val="28"/>
          <w:szCs w:val="28"/>
        </w:rPr>
        <w:t xml:space="preserve">The threat is posed by persons or groups of persons who have committed predicate crimes that generate income, </w:t>
      </w:r>
      <w:r w:rsidR="00935170">
        <w:rPr>
          <w:rFonts w:ascii="Arial" w:hAnsi="Arial" w:cs="Arial"/>
          <w:sz w:val="28"/>
          <w:szCs w:val="28"/>
        </w:rPr>
        <w:t xml:space="preserve">and </w:t>
      </w:r>
      <w:r w:rsidRPr="000A0A6D">
        <w:rPr>
          <w:rFonts w:ascii="Arial" w:hAnsi="Arial" w:cs="Arial"/>
          <w:sz w:val="28"/>
          <w:szCs w:val="28"/>
        </w:rPr>
        <w:t xml:space="preserve">as a result they use </w:t>
      </w:r>
      <w:r w:rsidR="00D62AD2">
        <w:rPr>
          <w:rFonts w:ascii="Arial" w:hAnsi="Arial" w:cs="Arial"/>
          <w:sz w:val="28"/>
          <w:szCs w:val="28"/>
        </w:rPr>
        <w:t>D</w:t>
      </w:r>
      <w:r w:rsidRPr="000A0A6D">
        <w:rPr>
          <w:rFonts w:ascii="Arial" w:hAnsi="Arial" w:cs="Arial"/>
          <w:sz w:val="28"/>
          <w:szCs w:val="28"/>
        </w:rPr>
        <w:t xml:space="preserve">A and </w:t>
      </w:r>
      <w:r w:rsidR="00D62AD2">
        <w:rPr>
          <w:rFonts w:ascii="Arial" w:hAnsi="Arial" w:cs="Arial"/>
          <w:sz w:val="28"/>
          <w:szCs w:val="28"/>
        </w:rPr>
        <w:t xml:space="preserve">DASPs </w:t>
      </w:r>
      <w:r w:rsidRPr="000A0A6D">
        <w:rPr>
          <w:rFonts w:ascii="Arial" w:hAnsi="Arial" w:cs="Arial"/>
          <w:sz w:val="28"/>
          <w:szCs w:val="28"/>
        </w:rPr>
        <w:t>for the purpose of money laundering.</w:t>
      </w:r>
    </w:p>
    <w:p w14:paraId="08A41EC5" w14:textId="6375FFE0" w:rsidR="00A370A1" w:rsidRPr="007B3F28" w:rsidRDefault="006B4E96" w:rsidP="003B475F">
      <w:pPr>
        <w:pStyle w:val="ListParagraph"/>
        <w:numPr>
          <w:ilvl w:val="0"/>
          <w:numId w:val="12"/>
        </w:numPr>
        <w:spacing w:line="360" w:lineRule="auto"/>
        <w:jc w:val="both"/>
        <w:rPr>
          <w:rFonts w:ascii="Arial" w:hAnsi="Arial" w:cs="Arial"/>
          <w:sz w:val="28"/>
          <w:szCs w:val="28"/>
        </w:rPr>
      </w:pPr>
      <w:r w:rsidRPr="67290A6E">
        <w:rPr>
          <w:rFonts w:ascii="Arial" w:hAnsi="Arial" w:cs="Arial"/>
          <w:sz w:val="28"/>
          <w:szCs w:val="28"/>
        </w:rPr>
        <w:t xml:space="preserve">The threat is posed by persons who directly use </w:t>
      </w:r>
      <w:r w:rsidR="00D62AD2">
        <w:rPr>
          <w:rFonts w:ascii="Arial" w:hAnsi="Arial" w:cs="Arial"/>
          <w:sz w:val="28"/>
          <w:szCs w:val="28"/>
        </w:rPr>
        <w:t>D</w:t>
      </w:r>
      <w:r w:rsidRPr="67290A6E">
        <w:rPr>
          <w:rFonts w:ascii="Arial" w:hAnsi="Arial" w:cs="Arial"/>
          <w:sz w:val="28"/>
          <w:szCs w:val="28"/>
        </w:rPr>
        <w:t xml:space="preserve">A and </w:t>
      </w:r>
      <w:r w:rsidR="00D62AD2">
        <w:rPr>
          <w:rFonts w:ascii="Arial" w:hAnsi="Arial" w:cs="Arial"/>
          <w:sz w:val="28"/>
          <w:szCs w:val="28"/>
        </w:rPr>
        <w:t>DASPs</w:t>
      </w:r>
      <w:r w:rsidRPr="67290A6E">
        <w:rPr>
          <w:rFonts w:ascii="Arial" w:hAnsi="Arial" w:cs="Arial"/>
          <w:sz w:val="28"/>
          <w:szCs w:val="28"/>
        </w:rPr>
        <w:t xml:space="preserve"> for the purpose of committing crimes and further ML/TF</w:t>
      </w:r>
      <w:r w:rsidR="00D62AD2">
        <w:rPr>
          <w:rFonts w:ascii="Arial" w:hAnsi="Arial" w:cs="Arial"/>
          <w:sz w:val="28"/>
          <w:szCs w:val="28"/>
        </w:rPr>
        <w:t>.</w:t>
      </w:r>
      <w:r w:rsidRPr="67290A6E">
        <w:rPr>
          <w:rFonts w:ascii="Arial" w:hAnsi="Arial" w:cs="Arial"/>
          <w:sz w:val="28"/>
          <w:szCs w:val="28"/>
        </w:rPr>
        <w:t xml:space="preserve"> </w:t>
      </w:r>
    </w:p>
    <w:p w14:paraId="55938423" w14:textId="77ABF345" w:rsidR="002C6127" w:rsidRPr="007B3F28" w:rsidRDefault="001358F7" w:rsidP="003B475F">
      <w:pPr>
        <w:spacing w:line="360" w:lineRule="auto"/>
        <w:jc w:val="both"/>
        <w:rPr>
          <w:rFonts w:ascii="Arial" w:hAnsi="Arial" w:cs="Arial"/>
          <w:sz w:val="28"/>
          <w:szCs w:val="28"/>
        </w:rPr>
      </w:pPr>
      <w:r>
        <w:rPr>
          <w:rFonts w:ascii="Arial" w:hAnsi="Arial" w:cs="Arial"/>
          <w:sz w:val="28"/>
          <w:szCs w:val="28"/>
        </w:rPr>
        <w:t>I</w:t>
      </w:r>
      <w:r w:rsidR="002F23B7">
        <w:rPr>
          <w:rFonts w:ascii="Arial" w:hAnsi="Arial" w:cs="Arial"/>
          <w:sz w:val="28"/>
          <w:szCs w:val="28"/>
        </w:rPr>
        <w:t>t is necessary to highlight</w:t>
      </w:r>
      <w:r>
        <w:rPr>
          <w:rFonts w:ascii="Arial" w:hAnsi="Arial" w:cs="Arial"/>
          <w:sz w:val="28"/>
          <w:szCs w:val="28"/>
        </w:rPr>
        <w:t xml:space="preserve"> following types of crimes</w:t>
      </w:r>
      <w:r w:rsidR="002F23B7">
        <w:rPr>
          <w:rFonts w:ascii="Arial" w:hAnsi="Arial" w:cs="Arial"/>
          <w:sz w:val="28"/>
          <w:szCs w:val="28"/>
        </w:rPr>
        <w:t>: drug trafficking, fraud, tax evasion, corruption and various types of cybercrime (theft, hacking, extortion, ransom</w:t>
      </w:r>
      <w:r w:rsidR="00B71C05">
        <w:rPr>
          <w:rFonts w:ascii="Arial" w:hAnsi="Arial" w:cs="Arial"/>
          <w:sz w:val="28"/>
          <w:szCs w:val="28"/>
        </w:rPr>
        <w:t>ware</w:t>
      </w:r>
      <w:r w:rsidR="002F23B7">
        <w:rPr>
          <w:rFonts w:ascii="Arial" w:hAnsi="Arial" w:cs="Arial"/>
          <w:sz w:val="28"/>
          <w:szCs w:val="28"/>
        </w:rPr>
        <w:t xml:space="preserve">). </w:t>
      </w:r>
    </w:p>
    <w:p w14:paraId="4F77D820" w14:textId="13BCCF94" w:rsidR="002F23B7" w:rsidRPr="007F3D40" w:rsidRDefault="002C6127" w:rsidP="003B475F">
      <w:pPr>
        <w:pStyle w:val="ListParagraph"/>
        <w:numPr>
          <w:ilvl w:val="0"/>
          <w:numId w:val="8"/>
        </w:numPr>
        <w:spacing w:line="360" w:lineRule="auto"/>
        <w:ind w:left="0" w:firstLine="0"/>
        <w:jc w:val="both"/>
        <w:outlineLvl w:val="1"/>
        <w:rPr>
          <w:rFonts w:ascii="Arial" w:hAnsi="Arial" w:cs="Arial"/>
          <w:b/>
          <w:bCs/>
          <w:sz w:val="28"/>
          <w:szCs w:val="28"/>
        </w:rPr>
      </w:pPr>
      <w:bookmarkStart w:id="2" w:name="_Toc170314415"/>
      <w:r w:rsidRPr="7AD5C25C">
        <w:rPr>
          <w:rFonts w:ascii="Arial" w:hAnsi="Arial" w:cs="Arial"/>
          <w:b/>
          <w:bCs/>
          <w:sz w:val="28"/>
          <w:szCs w:val="28"/>
        </w:rPr>
        <w:t>Drug trafficking</w:t>
      </w:r>
      <w:bookmarkEnd w:id="2"/>
    </w:p>
    <w:p w14:paraId="7D17C34C" w14:textId="1FCACCEC" w:rsidR="004E4A75" w:rsidRPr="007B3F28" w:rsidRDefault="3E29A511" w:rsidP="003B475F">
      <w:pPr>
        <w:spacing w:line="360" w:lineRule="auto"/>
        <w:jc w:val="both"/>
        <w:rPr>
          <w:rFonts w:ascii="Arial" w:hAnsi="Arial" w:cs="Arial"/>
          <w:sz w:val="28"/>
          <w:szCs w:val="28"/>
        </w:rPr>
      </w:pPr>
      <w:r w:rsidRPr="68A3C7B1">
        <w:rPr>
          <w:rFonts w:ascii="Arial" w:hAnsi="Arial" w:cs="Arial"/>
          <w:sz w:val="28"/>
          <w:szCs w:val="28"/>
        </w:rPr>
        <w:t xml:space="preserve">According to </w:t>
      </w:r>
      <w:r w:rsidR="74A7E503" w:rsidRPr="68A3C7B1">
        <w:rPr>
          <w:rFonts w:ascii="Arial" w:hAnsi="Arial" w:cs="Arial"/>
          <w:sz w:val="28"/>
          <w:szCs w:val="28"/>
        </w:rPr>
        <w:t>global</w:t>
      </w:r>
      <w:r w:rsidRPr="68A3C7B1">
        <w:rPr>
          <w:rFonts w:ascii="Arial" w:hAnsi="Arial" w:cs="Arial"/>
          <w:sz w:val="28"/>
          <w:szCs w:val="28"/>
        </w:rPr>
        <w:t xml:space="preserve"> practice, the use of </w:t>
      </w:r>
      <w:r w:rsidR="74A7E503" w:rsidRPr="68A3C7B1">
        <w:rPr>
          <w:rFonts w:ascii="Arial" w:hAnsi="Arial" w:cs="Arial"/>
          <w:sz w:val="28"/>
          <w:szCs w:val="28"/>
        </w:rPr>
        <w:t>DA</w:t>
      </w:r>
      <w:r w:rsidR="08EDDE40" w:rsidRPr="68A3C7B1">
        <w:rPr>
          <w:rFonts w:ascii="Arial" w:hAnsi="Arial" w:cs="Arial"/>
          <w:sz w:val="28"/>
          <w:szCs w:val="28"/>
        </w:rPr>
        <w:t>s</w:t>
      </w:r>
      <w:r w:rsidRPr="68A3C7B1">
        <w:rPr>
          <w:rFonts w:ascii="Arial" w:hAnsi="Arial" w:cs="Arial"/>
          <w:sz w:val="28"/>
          <w:szCs w:val="28"/>
        </w:rPr>
        <w:t xml:space="preserve"> in drug trafficking is widespread. The reason for this is mainly the </w:t>
      </w:r>
      <w:r w:rsidR="312C56D7" w:rsidRPr="68A3C7B1">
        <w:rPr>
          <w:rFonts w:ascii="Arial" w:eastAsia="Arial" w:hAnsi="Arial" w:cs="Arial"/>
          <w:sz w:val="28"/>
          <w:szCs w:val="28"/>
        </w:rPr>
        <w:t xml:space="preserve">ability to sell drugs without intermediaries, which leads to maximizing profits and simplifying the process of drug distribution; the ability to sell drugs outside territorial restrictions: a seller from anywhere in the world has access to any buyer; the difficulty in tracking transactions of some types of </w:t>
      </w:r>
      <w:r w:rsidR="72C9AE10" w:rsidRPr="68A3C7B1">
        <w:rPr>
          <w:rFonts w:ascii="Arial" w:eastAsia="Arial" w:hAnsi="Arial" w:cs="Arial"/>
          <w:sz w:val="28"/>
          <w:szCs w:val="28"/>
        </w:rPr>
        <w:t>DA</w:t>
      </w:r>
      <w:r w:rsidR="054A5EF5" w:rsidRPr="68A3C7B1">
        <w:rPr>
          <w:rFonts w:ascii="Arial" w:eastAsia="Arial" w:hAnsi="Arial" w:cs="Arial"/>
          <w:sz w:val="28"/>
          <w:szCs w:val="28"/>
        </w:rPr>
        <w:t>s</w:t>
      </w:r>
      <w:r w:rsidR="312C56D7" w:rsidRPr="68A3C7B1">
        <w:rPr>
          <w:rFonts w:ascii="Arial" w:eastAsia="Arial" w:hAnsi="Arial" w:cs="Arial"/>
          <w:sz w:val="28"/>
          <w:szCs w:val="28"/>
        </w:rPr>
        <w:t xml:space="preserve">. </w:t>
      </w:r>
      <w:r w:rsidR="2EAB6E78" w:rsidRPr="68A3C7B1">
        <w:rPr>
          <w:rFonts w:ascii="Arial" w:hAnsi="Arial" w:cs="Arial"/>
          <w:sz w:val="28"/>
          <w:szCs w:val="28"/>
        </w:rPr>
        <w:t xml:space="preserve">Proceeds derived from drug trafficking can be laundered through the </w:t>
      </w:r>
      <w:r w:rsidR="72C9AE10" w:rsidRPr="68A3C7B1">
        <w:rPr>
          <w:rFonts w:ascii="Arial" w:hAnsi="Arial" w:cs="Arial"/>
          <w:sz w:val="28"/>
          <w:szCs w:val="28"/>
        </w:rPr>
        <w:t>DASPs</w:t>
      </w:r>
      <w:r w:rsidR="2EAB6E78" w:rsidRPr="68A3C7B1">
        <w:rPr>
          <w:rFonts w:ascii="Arial" w:hAnsi="Arial" w:cs="Arial"/>
          <w:sz w:val="28"/>
          <w:szCs w:val="28"/>
        </w:rPr>
        <w:t xml:space="preserve">, through the conversion of the received fiat funds into </w:t>
      </w:r>
      <w:r w:rsidR="72C9AE10" w:rsidRPr="68A3C7B1">
        <w:rPr>
          <w:rFonts w:ascii="Arial" w:hAnsi="Arial" w:cs="Arial"/>
          <w:sz w:val="28"/>
          <w:szCs w:val="28"/>
        </w:rPr>
        <w:t>D</w:t>
      </w:r>
      <w:r w:rsidR="2EAB6E78" w:rsidRPr="68A3C7B1">
        <w:rPr>
          <w:rFonts w:ascii="Arial" w:hAnsi="Arial" w:cs="Arial"/>
          <w:sz w:val="28"/>
          <w:szCs w:val="28"/>
        </w:rPr>
        <w:t>A</w:t>
      </w:r>
      <w:r w:rsidR="2F88B8F1" w:rsidRPr="68A3C7B1">
        <w:rPr>
          <w:rFonts w:ascii="Arial" w:hAnsi="Arial" w:cs="Arial"/>
          <w:sz w:val="28"/>
          <w:szCs w:val="28"/>
        </w:rPr>
        <w:t>s</w:t>
      </w:r>
      <w:r w:rsidR="2EAB6E78" w:rsidRPr="68A3C7B1">
        <w:rPr>
          <w:rFonts w:ascii="Arial" w:hAnsi="Arial" w:cs="Arial"/>
          <w:sz w:val="28"/>
          <w:szCs w:val="28"/>
        </w:rPr>
        <w:t xml:space="preserve"> and the subsequent exchange of </w:t>
      </w:r>
      <w:r w:rsidR="72C9AE10" w:rsidRPr="68A3C7B1">
        <w:rPr>
          <w:rFonts w:ascii="Arial" w:hAnsi="Arial" w:cs="Arial"/>
          <w:sz w:val="28"/>
          <w:szCs w:val="28"/>
        </w:rPr>
        <w:t>D</w:t>
      </w:r>
      <w:r w:rsidR="2EAB6E78" w:rsidRPr="68A3C7B1">
        <w:rPr>
          <w:rFonts w:ascii="Arial" w:hAnsi="Arial" w:cs="Arial"/>
          <w:sz w:val="28"/>
          <w:szCs w:val="28"/>
        </w:rPr>
        <w:t>A</w:t>
      </w:r>
      <w:r w:rsidR="4E28DB90" w:rsidRPr="68A3C7B1">
        <w:rPr>
          <w:rFonts w:ascii="Arial" w:hAnsi="Arial" w:cs="Arial"/>
          <w:sz w:val="28"/>
          <w:szCs w:val="28"/>
        </w:rPr>
        <w:t>s</w:t>
      </w:r>
      <w:r w:rsidR="2EAB6E78" w:rsidRPr="68A3C7B1">
        <w:rPr>
          <w:rFonts w:ascii="Arial" w:hAnsi="Arial" w:cs="Arial"/>
          <w:sz w:val="28"/>
          <w:szCs w:val="28"/>
        </w:rPr>
        <w:t xml:space="preserve"> back into fiat. </w:t>
      </w:r>
    </w:p>
    <w:p w14:paraId="13AC478D" w14:textId="6D2EF3D5" w:rsidR="004E4A75" w:rsidRPr="007B3F28" w:rsidRDefault="64E162F1" w:rsidP="003B475F">
      <w:pPr>
        <w:spacing w:line="360" w:lineRule="auto"/>
        <w:jc w:val="both"/>
        <w:rPr>
          <w:rFonts w:ascii="Arial" w:hAnsi="Arial" w:cs="Arial"/>
          <w:sz w:val="28"/>
          <w:szCs w:val="28"/>
        </w:rPr>
      </w:pPr>
      <w:r w:rsidRPr="68A3C7B1">
        <w:rPr>
          <w:rFonts w:ascii="Arial" w:hAnsi="Arial" w:cs="Arial"/>
          <w:sz w:val="28"/>
          <w:szCs w:val="28"/>
        </w:rPr>
        <w:lastRenderedPageBreak/>
        <w:t xml:space="preserve">In addition, </w:t>
      </w:r>
      <w:r w:rsidR="72C9AE10" w:rsidRPr="68A3C7B1">
        <w:rPr>
          <w:rFonts w:ascii="Arial" w:hAnsi="Arial" w:cs="Arial"/>
          <w:sz w:val="28"/>
          <w:szCs w:val="28"/>
        </w:rPr>
        <w:t>DA</w:t>
      </w:r>
      <w:r w:rsidR="1928F45B" w:rsidRPr="68A3C7B1">
        <w:rPr>
          <w:rFonts w:ascii="Arial" w:hAnsi="Arial" w:cs="Arial"/>
          <w:sz w:val="28"/>
          <w:szCs w:val="28"/>
        </w:rPr>
        <w:t>s</w:t>
      </w:r>
      <w:r w:rsidRPr="68A3C7B1">
        <w:rPr>
          <w:rFonts w:ascii="Arial" w:hAnsi="Arial" w:cs="Arial"/>
          <w:sz w:val="28"/>
          <w:szCs w:val="28"/>
        </w:rPr>
        <w:t xml:space="preserve"> are also used as a medium of exchange in the drug trade between sellers and buyers. </w:t>
      </w:r>
    </w:p>
    <w:p w14:paraId="3113485A" w14:textId="34B982B5" w:rsidR="00232905" w:rsidRPr="007B3F28" w:rsidRDefault="004E4A75" w:rsidP="003B475F">
      <w:pPr>
        <w:spacing w:line="360" w:lineRule="auto"/>
        <w:jc w:val="both"/>
        <w:rPr>
          <w:rFonts w:ascii="Arial" w:hAnsi="Arial" w:cs="Arial"/>
          <w:sz w:val="28"/>
          <w:szCs w:val="28"/>
        </w:rPr>
      </w:pPr>
      <w:r w:rsidRPr="004E4A75">
        <w:rPr>
          <w:rFonts w:ascii="Arial" w:hAnsi="Arial" w:cs="Arial"/>
          <w:sz w:val="28"/>
          <w:szCs w:val="28"/>
        </w:rPr>
        <w:t xml:space="preserve">There are numerous darknet markets connecting buyers and sellers of drugs, where trade is carried out exclusively through the exchange of </w:t>
      </w:r>
      <w:r w:rsidR="009342A5">
        <w:rPr>
          <w:rFonts w:ascii="Arial" w:hAnsi="Arial" w:cs="Arial"/>
          <w:sz w:val="28"/>
          <w:szCs w:val="28"/>
        </w:rPr>
        <w:t>DA</w:t>
      </w:r>
      <w:r w:rsidRPr="004E4A75">
        <w:rPr>
          <w:rFonts w:ascii="Arial" w:hAnsi="Arial" w:cs="Arial"/>
          <w:sz w:val="28"/>
          <w:szCs w:val="28"/>
        </w:rPr>
        <w:t>.</w:t>
      </w:r>
    </w:p>
    <w:p w14:paraId="1F60B61B" w14:textId="540E68E6" w:rsidR="002B4F6B" w:rsidRPr="005078B5" w:rsidRDefault="002B4F6B" w:rsidP="003B475F">
      <w:pPr>
        <w:pStyle w:val="ListParagraph"/>
        <w:numPr>
          <w:ilvl w:val="0"/>
          <w:numId w:val="8"/>
        </w:numPr>
        <w:spacing w:line="360" w:lineRule="auto"/>
        <w:ind w:left="0" w:firstLine="0"/>
        <w:jc w:val="both"/>
        <w:outlineLvl w:val="1"/>
        <w:rPr>
          <w:rFonts w:ascii="Arial" w:hAnsi="Arial" w:cs="Arial"/>
          <w:b/>
          <w:bCs/>
          <w:sz w:val="28"/>
          <w:szCs w:val="28"/>
          <w:lang w:val="ru-RU"/>
        </w:rPr>
      </w:pPr>
      <w:bookmarkStart w:id="3" w:name="_Toc170314416"/>
      <w:r w:rsidRPr="005078B5">
        <w:rPr>
          <w:rFonts w:ascii="Arial" w:hAnsi="Arial" w:cs="Arial"/>
          <w:b/>
          <w:bCs/>
          <w:sz w:val="28"/>
          <w:szCs w:val="28"/>
        </w:rPr>
        <w:t>Fraud</w:t>
      </w:r>
      <w:bookmarkEnd w:id="3"/>
      <w:r w:rsidRPr="005078B5">
        <w:rPr>
          <w:rFonts w:ascii="Arial" w:hAnsi="Arial" w:cs="Arial"/>
          <w:b/>
          <w:bCs/>
          <w:sz w:val="28"/>
          <w:szCs w:val="28"/>
        </w:rPr>
        <w:t xml:space="preserve">  </w:t>
      </w:r>
    </w:p>
    <w:p w14:paraId="039AE203" w14:textId="71C1FC89" w:rsidR="00A370A1" w:rsidRPr="007B3F28" w:rsidRDefault="008C0B84" w:rsidP="003B475F">
      <w:pPr>
        <w:spacing w:line="360" w:lineRule="auto"/>
        <w:jc w:val="both"/>
        <w:rPr>
          <w:rFonts w:ascii="Arial" w:hAnsi="Arial" w:cs="Arial"/>
          <w:sz w:val="28"/>
          <w:szCs w:val="28"/>
        </w:rPr>
      </w:pPr>
      <w:r>
        <w:rPr>
          <w:rFonts w:ascii="Arial" w:hAnsi="Arial" w:cs="Arial"/>
          <w:sz w:val="28"/>
          <w:szCs w:val="28"/>
        </w:rPr>
        <w:t xml:space="preserve">Fraud is a significant </w:t>
      </w:r>
      <w:r w:rsidRPr="00ED368C">
        <w:rPr>
          <w:rFonts w:ascii="Arial" w:hAnsi="Arial" w:cs="Arial"/>
          <w:sz w:val="28"/>
          <w:szCs w:val="28"/>
        </w:rPr>
        <w:t xml:space="preserve">threat in the field of using the </w:t>
      </w:r>
      <w:r w:rsidR="009342A5" w:rsidRPr="00ED368C">
        <w:rPr>
          <w:rFonts w:ascii="Arial" w:hAnsi="Arial" w:cs="Arial"/>
          <w:sz w:val="28"/>
          <w:szCs w:val="28"/>
        </w:rPr>
        <w:t>DA</w:t>
      </w:r>
      <w:r w:rsidRPr="00ED368C">
        <w:rPr>
          <w:rFonts w:ascii="Arial" w:hAnsi="Arial" w:cs="Arial"/>
          <w:sz w:val="28"/>
          <w:szCs w:val="28"/>
        </w:rPr>
        <w:t xml:space="preserve"> for criminal purposes. Given the </w:t>
      </w:r>
      <w:r w:rsidR="009342A5" w:rsidRPr="00ED368C">
        <w:rPr>
          <w:rFonts w:ascii="Arial" w:hAnsi="Arial" w:cs="Arial"/>
          <w:sz w:val="28"/>
          <w:szCs w:val="28"/>
        </w:rPr>
        <w:t>specifics</w:t>
      </w:r>
      <w:r w:rsidRPr="00ED368C">
        <w:rPr>
          <w:rFonts w:ascii="Arial" w:hAnsi="Arial" w:cs="Arial"/>
          <w:sz w:val="28"/>
          <w:szCs w:val="28"/>
        </w:rPr>
        <w:t xml:space="preserve"> of the AIFC, the </w:t>
      </w:r>
      <w:r w:rsidR="009342A5" w:rsidRPr="00ED368C">
        <w:rPr>
          <w:rFonts w:ascii="Arial" w:hAnsi="Arial" w:cs="Arial"/>
          <w:sz w:val="28"/>
          <w:szCs w:val="28"/>
        </w:rPr>
        <w:t>bigges</w:t>
      </w:r>
      <w:r w:rsidRPr="00ED368C">
        <w:rPr>
          <w:rFonts w:ascii="Arial" w:hAnsi="Arial" w:cs="Arial"/>
          <w:sz w:val="28"/>
          <w:szCs w:val="28"/>
        </w:rPr>
        <w:t xml:space="preserve">t threat </w:t>
      </w:r>
      <w:r w:rsidR="009342A5" w:rsidRPr="00ED368C">
        <w:rPr>
          <w:rFonts w:ascii="Arial" w:hAnsi="Arial" w:cs="Arial"/>
          <w:sz w:val="28"/>
          <w:szCs w:val="28"/>
        </w:rPr>
        <w:t>are</w:t>
      </w:r>
      <w:r w:rsidRPr="00ED368C">
        <w:rPr>
          <w:rFonts w:ascii="Arial" w:hAnsi="Arial" w:cs="Arial"/>
          <w:sz w:val="28"/>
          <w:szCs w:val="28"/>
        </w:rPr>
        <w:t xml:space="preserve"> investment fraud, phishing fraud, fake websites or applications, </w:t>
      </w:r>
      <w:r w:rsidR="00286181" w:rsidRPr="00ED368C">
        <w:rPr>
          <w:rFonts w:ascii="Arial" w:hAnsi="Arial" w:cs="Arial"/>
          <w:sz w:val="28"/>
          <w:szCs w:val="28"/>
        </w:rPr>
        <w:t xml:space="preserve">pump and dump </w:t>
      </w:r>
      <w:r w:rsidR="009342A5" w:rsidRPr="00ED368C">
        <w:rPr>
          <w:rFonts w:ascii="Arial" w:hAnsi="Arial" w:cs="Arial"/>
          <w:sz w:val="28"/>
          <w:szCs w:val="28"/>
        </w:rPr>
        <w:t>schemes</w:t>
      </w:r>
      <w:r w:rsidRPr="00ED368C">
        <w:rPr>
          <w:rFonts w:ascii="Arial" w:hAnsi="Arial" w:cs="Arial"/>
          <w:sz w:val="28"/>
          <w:szCs w:val="28"/>
        </w:rPr>
        <w:t>, fake recommendations, including</w:t>
      </w:r>
      <w:r>
        <w:rPr>
          <w:rFonts w:ascii="Arial" w:hAnsi="Arial" w:cs="Arial"/>
          <w:sz w:val="28"/>
          <w:szCs w:val="28"/>
        </w:rPr>
        <w:t xml:space="preserve"> using AI, </w:t>
      </w:r>
      <w:r w:rsidR="009342A5">
        <w:rPr>
          <w:rFonts w:ascii="Arial" w:hAnsi="Arial" w:cs="Arial"/>
          <w:sz w:val="28"/>
          <w:szCs w:val="28"/>
        </w:rPr>
        <w:t>and initial coin offering</w:t>
      </w:r>
      <w:r>
        <w:rPr>
          <w:rFonts w:ascii="Arial" w:hAnsi="Arial" w:cs="Arial"/>
          <w:sz w:val="28"/>
          <w:szCs w:val="28"/>
        </w:rPr>
        <w:t xml:space="preserve"> (ICO)</w:t>
      </w:r>
      <w:r w:rsidR="009342A5">
        <w:rPr>
          <w:rFonts w:ascii="Arial" w:hAnsi="Arial" w:cs="Arial"/>
          <w:sz w:val="28"/>
          <w:szCs w:val="28"/>
        </w:rPr>
        <w:t xml:space="preserve"> fraud</w:t>
      </w:r>
      <w:r>
        <w:rPr>
          <w:rFonts w:ascii="Arial" w:hAnsi="Arial" w:cs="Arial"/>
          <w:sz w:val="28"/>
          <w:szCs w:val="28"/>
        </w:rPr>
        <w:t xml:space="preserve">. </w:t>
      </w:r>
    </w:p>
    <w:p w14:paraId="79CC3348" w14:textId="00292BE4" w:rsidR="00EE4A60" w:rsidRPr="007B3F28" w:rsidRDefault="00AE419F" w:rsidP="003B475F">
      <w:pPr>
        <w:spacing w:line="360" w:lineRule="auto"/>
        <w:jc w:val="both"/>
        <w:rPr>
          <w:rFonts w:ascii="Arial" w:hAnsi="Arial" w:cs="Arial"/>
          <w:sz w:val="28"/>
          <w:szCs w:val="28"/>
        </w:rPr>
      </w:pPr>
      <w:r w:rsidRPr="7AD5C25C">
        <w:rPr>
          <w:rFonts w:ascii="Arial" w:hAnsi="Arial" w:cs="Arial"/>
          <w:sz w:val="28"/>
          <w:szCs w:val="28"/>
        </w:rPr>
        <w:t xml:space="preserve">The rapid growth in the value of certain types of </w:t>
      </w:r>
      <w:r w:rsidR="009342A5">
        <w:rPr>
          <w:rFonts w:ascii="Arial" w:hAnsi="Arial" w:cs="Arial"/>
          <w:sz w:val="28"/>
          <w:szCs w:val="28"/>
        </w:rPr>
        <w:t>DA</w:t>
      </w:r>
      <w:r w:rsidR="001570CD">
        <w:rPr>
          <w:rFonts w:ascii="Arial" w:hAnsi="Arial" w:cs="Arial"/>
          <w:sz w:val="28"/>
          <w:szCs w:val="28"/>
        </w:rPr>
        <w:t>s</w:t>
      </w:r>
      <w:r w:rsidRPr="7AD5C25C">
        <w:rPr>
          <w:rFonts w:ascii="Arial" w:hAnsi="Arial" w:cs="Arial"/>
          <w:sz w:val="28"/>
          <w:szCs w:val="28"/>
        </w:rPr>
        <w:t xml:space="preserve"> makes it possible for criminals to manipulate information </w:t>
      </w:r>
      <w:proofErr w:type="gramStart"/>
      <w:r w:rsidRPr="7AD5C25C">
        <w:rPr>
          <w:rFonts w:ascii="Arial" w:hAnsi="Arial" w:cs="Arial"/>
          <w:sz w:val="28"/>
          <w:szCs w:val="28"/>
        </w:rPr>
        <w:t>in order to</w:t>
      </w:r>
      <w:proofErr w:type="gramEnd"/>
      <w:r w:rsidRPr="7AD5C25C">
        <w:rPr>
          <w:rFonts w:ascii="Arial" w:hAnsi="Arial" w:cs="Arial"/>
          <w:sz w:val="28"/>
          <w:szCs w:val="28"/>
        </w:rPr>
        <w:t xml:space="preserve"> attract more consumers, and then appropriate funds. With such schemes, as a rule, criminals promise potential </w:t>
      </w:r>
      <w:proofErr w:type="gramStart"/>
      <w:r w:rsidRPr="7AD5C25C">
        <w:rPr>
          <w:rFonts w:ascii="Arial" w:hAnsi="Arial" w:cs="Arial"/>
          <w:sz w:val="28"/>
          <w:szCs w:val="28"/>
        </w:rPr>
        <w:t>victims</w:t>
      </w:r>
      <w:proofErr w:type="gramEnd"/>
      <w:r w:rsidRPr="7AD5C25C">
        <w:rPr>
          <w:rFonts w:ascii="Arial" w:hAnsi="Arial" w:cs="Arial"/>
          <w:sz w:val="28"/>
          <w:szCs w:val="28"/>
        </w:rPr>
        <w:t xml:space="preserve"> high profitability. Taking advantage of citizens' poor understanding of digital products, criminals lure victims, increasing the growth in the number of deceived people on the one hand and securing the volume of criminal proceeds obtained on the other. </w:t>
      </w:r>
    </w:p>
    <w:p w14:paraId="0C420A29" w14:textId="0A0CDE98" w:rsidR="002B4F6B" w:rsidRPr="005078B5" w:rsidRDefault="00AE419F" w:rsidP="003B475F">
      <w:pPr>
        <w:pStyle w:val="ListParagraph"/>
        <w:numPr>
          <w:ilvl w:val="0"/>
          <w:numId w:val="8"/>
        </w:numPr>
        <w:spacing w:line="360" w:lineRule="auto"/>
        <w:ind w:left="0" w:firstLine="0"/>
        <w:jc w:val="both"/>
        <w:outlineLvl w:val="1"/>
        <w:rPr>
          <w:rFonts w:ascii="Arial" w:hAnsi="Arial" w:cs="Arial"/>
          <w:b/>
          <w:bCs/>
          <w:sz w:val="28"/>
          <w:szCs w:val="28"/>
          <w:lang w:val="ru-RU"/>
        </w:rPr>
      </w:pPr>
      <w:bookmarkStart w:id="4" w:name="_Toc170314417"/>
      <w:r w:rsidRPr="005078B5">
        <w:rPr>
          <w:rFonts w:ascii="Arial" w:hAnsi="Arial" w:cs="Arial"/>
          <w:b/>
          <w:bCs/>
          <w:sz w:val="28"/>
          <w:szCs w:val="28"/>
        </w:rPr>
        <w:t>Tax evasion</w:t>
      </w:r>
      <w:bookmarkEnd w:id="4"/>
    </w:p>
    <w:p w14:paraId="14621F8C" w14:textId="1D42E249" w:rsidR="007163C9" w:rsidRPr="007B3F28" w:rsidRDefault="3D70040B" w:rsidP="003B475F">
      <w:pPr>
        <w:spacing w:line="360" w:lineRule="auto"/>
        <w:jc w:val="both"/>
        <w:rPr>
          <w:rFonts w:ascii="Arial" w:hAnsi="Arial" w:cs="Arial"/>
          <w:sz w:val="28"/>
          <w:szCs w:val="28"/>
        </w:rPr>
      </w:pPr>
      <w:r w:rsidRPr="68A3C7B1">
        <w:rPr>
          <w:rFonts w:ascii="Arial" w:hAnsi="Arial" w:cs="Arial"/>
          <w:sz w:val="28"/>
          <w:szCs w:val="28"/>
        </w:rPr>
        <w:t xml:space="preserve">Based on documented typologies and trends, including the Financial Action Task Force (FATF) Red Flag Indicators, there is evidence that </w:t>
      </w:r>
      <w:r w:rsidR="72C9AE10" w:rsidRPr="68A3C7B1">
        <w:rPr>
          <w:rFonts w:ascii="Arial" w:hAnsi="Arial" w:cs="Arial"/>
          <w:sz w:val="28"/>
          <w:szCs w:val="28"/>
        </w:rPr>
        <w:t>D</w:t>
      </w:r>
      <w:r w:rsidRPr="68A3C7B1">
        <w:rPr>
          <w:rFonts w:ascii="Arial" w:hAnsi="Arial" w:cs="Arial"/>
          <w:sz w:val="28"/>
          <w:szCs w:val="28"/>
        </w:rPr>
        <w:t>A</w:t>
      </w:r>
      <w:r w:rsidR="25F62E38" w:rsidRPr="68A3C7B1">
        <w:rPr>
          <w:rFonts w:ascii="Arial" w:hAnsi="Arial" w:cs="Arial"/>
          <w:sz w:val="28"/>
          <w:szCs w:val="28"/>
        </w:rPr>
        <w:t>s</w:t>
      </w:r>
      <w:r w:rsidRPr="68A3C7B1">
        <w:rPr>
          <w:rFonts w:ascii="Arial" w:hAnsi="Arial" w:cs="Arial"/>
          <w:sz w:val="28"/>
          <w:szCs w:val="28"/>
        </w:rPr>
        <w:t xml:space="preserve"> and </w:t>
      </w:r>
      <w:r w:rsidR="72C9AE10" w:rsidRPr="68A3C7B1">
        <w:rPr>
          <w:rFonts w:ascii="Arial" w:hAnsi="Arial" w:cs="Arial"/>
          <w:sz w:val="28"/>
          <w:szCs w:val="28"/>
        </w:rPr>
        <w:t>DASPs</w:t>
      </w:r>
      <w:r w:rsidRPr="68A3C7B1">
        <w:rPr>
          <w:rFonts w:ascii="Arial" w:hAnsi="Arial" w:cs="Arial"/>
          <w:sz w:val="28"/>
          <w:szCs w:val="28"/>
        </w:rPr>
        <w:t xml:space="preserve"> are used for tax evasion worldwide. </w:t>
      </w:r>
    </w:p>
    <w:p w14:paraId="1780AE04" w14:textId="4A42AE06" w:rsidR="00DA3591" w:rsidRPr="007B3F28" w:rsidRDefault="009422DE" w:rsidP="003B475F">
      <w:pPr>
        <w:spacing w:line="360" w:lineRule="auto"/>
        <w:jc w:val="both"/>
        <w:rPr>
          <w:rFonts w:ascii="Arial" w:hAnsi="Arial" w:cs="Arial"/>
          <w:sz w:val="28"/>
          <w:szCs w:val="28"/>
        </w:rPr>
      </w:pPr>
      <w:r w:rsidRPr="009422DE">
        <w:rPr>
          <w:rFonts w:ascii="Arial" w:hAnsi="Arial" w:cs="Arial"/>
          <w:sz w:val="28"/>
          <w:szCs w:val="28"/>
        </w:rPr>
        <w:t xml:space="preserve">One of the options for evading tax control is to use the </w:t>
      </w:r>
      <w:r w:rsidR="009342A5">
        <w:rPr>
          <w:rFonts w:ascii="Arial" w:hAnsi="Arial" w:cs="Arial"/>
          <w:sz w:val="28"/>
          <w:szCs w:val="28"/>
        </w:rPr>
        <w:t>DA</w:t>
      </w:r>
      <w:r w:rsidRPr="009422DE">
        <w:rPr>
          <w:rFonts w:ascii="Arial" w:hAnsi="Arial" w:cs="Arial"/>
          <w:sz w:val="28"/>
          <w:szCs w:val="28"/>
        </w:rPr>
        <w:t xml:space="preserve"> as a means of payment and accumulate profits without converting them into fiat money. In this case, the </w:t>
      </w:r>
      <w:r w:rsidR="00F612DA">
        <w:rPr>
          <w:rFonts w:ascii="Arial" w:hAnsi="Arial" w:cs="Arial"/>
          <w:sz w:val="28"/>
          <w:szCs w:val="28"/>
        </w:rPr>
        <w:t>DA</w:t>
      </w:r>
      <w:r w:rsidRPr="009422DE">
        <w:rPr>
          <w:rFonts w:ascii="Arial" w:hAnsi="Arial" w:cs="Arial"/>
          <w:sz w:val="28"/>
          <w:szCs w:val="28"/>
        </w:rPr>
        <w:t xml:space="preserve"> is not displayed for accounting in the bank accounts of organizations or citizens. Even in the context of a ban on such activities, if these transactions are not public, are not multiple and are not advertised (for example, as payment for goods in an online store), then attracting attention to them from regulatory authorities is minimized. Thus, it is quite difficult to </w:t>
      </w:r>
      <w:r w:rsidRPr="009422DE">
        <w:rPr>
          <w:rFonts w:ascii="Arial" w:hAnsi="Arial" w:cs="Arial"/>
          <w:sz w:val="28"/>
          <w:szCs w:val="28"/>
        </w:rPr>
        <w:lastRenderedPageBreak/>
        <w:t xml:space="preserve">find out about the fact of tax evasion without the taxpayer voluntarily reporting such information in his declaration. </w:t>
      </w:r>
    </w:p>
    <w:p w14:paraId="71CDB441" w14:textId="742959B1" w:rsidR="00E541A9" w:rsidRPr="007B3F28" w:rsidRDefault="00DA3591" w:rsidP="003B475F">
      <w:pPr>
        <w:spacing w:line="360" w:lineRule="auto"/>
        <w:jc w:val="both"/>
        <w:rPr>
          <w:rFonts w:ascii="Arial" w:hAnsi="Arial" w:cs="Arial"/>
          <w:sz w:val="28"/>
          <w:szCs w:val="28"/>
        </w:rPr>
      </w:pPr>
      <w:r w:rsidRPr="7AD5C25C">
        <w:rPr>
          <w:rFonts w:ascii="Arial" w:hAnsi="Arial" w:cs="Arial"/>
          <w:sz w:val="28"/>
          <w:szCs w:val="28"/>
        </w:rPr>
        <w:t xml:space="preserve">Also, tax evasion </w:t>
      </w:r>
      <w:r w:rsidR="00E871C8">
        <w:rPr>
          <w:rFonts w:ascii="Arial" w:hAnsi="Arial" w:cs="Arial"/>
          <w:sz w:val="28"/>
          <w:szCs w:val="28"/>
        </w:rPr>
        <w:t xml:space="preserve">with </w:t>
      </w:r>
      <w:proofErr w:type="spellStart"/>
      <w:r w:rsidR="00E871C8">
        <w:rPr>
          <w:rFonts w:ascii="Arial" w:hAnsi="Arial" w:cs="Arial"/>
          <w:sz w:val="28"/>
          <w:szCs w:val="28"/>
        </w:rPr>
        <w:t>cryptoasset</w:t>
      </w:r>
      <w:proofErr w:type="spellEnd"/>
      <w:r w:rsidR="00E871C8">
        <w:rPr>
          <w:rFonts w:ascii="Arial" w:hAnsi="Arial" w:cs="Arial"/>
          <w:sz w:val="28"/>
          <w:szCs w:val="28"/>
        </w:rPr>
        <w:t xml:space="preserve"> may take place </w:t>
      </w:r>
      <w:proofErr w:type="gramStart"/>
      <w:r w:rsidR="00E871C8">
        <w:rPr>
          <w:rFonts w:ascii="Arial" w:hAnsi="Arial" w:cs="Arial"/>
          <w:sz w:val="28"/>
          <w:szCs w:val="28"/>
        </w:rPr>
        <w:t>as a result of</w:t>
      </w:r>
      <w:proofErr w:type="gramEnd"/>
      <w:r w:rsidR="00E871C8">
        <w:rPr>
          <w:rFonts w:ascii="Arial" w:hAnsi="Arial" w:cs="Arial"/>
          <w:sz w:val="28"/>
          <w:szCs w:val="28"/>
        </w:rPr>
        <w:t xml:space="preserve"> </w:t>
      </w:r>
      <w:r w:rsidRPr="7AD5C25C">
        <w:rPr>
          <w:rFonts w:ascii="Arial" w:hAnsi="Arial" w:cs="Arial"/>
          <w:sz w:val="28"/>
          <w:szCs w:val="28"/>
        </w:rPr>
        <w:t>the</w:t>
      </w:r>
      <w:r w:rsidR="007E4F46">
        <w:rPr>
          <w:rFonts w:ascii="Arial" w:hAnsi="Arial" w:cs="Arial"/>
          <w:sz w:val="28"/>
          <w:szCs w:val="28"/>
        </w:rPr>
        <w:t xml:space="preserve"> change of the</w:t>
      </w:r>
      <w:r w:rsidRPr="7AD5C25C">
        <w:rPr>
          <w:rFonts w:ascii="Arial" w:hAnsi="Arial" w:cs="Arial"/>
          <w:sz w:val="28"/>
          <w:szCs w:val="28"/>
        </w:rPr>
        <w:t xml:space="preserve"> value of some types of </w:t>
      </w:r>
      <w:r w:rsidR="00F612DA">
        <w:rPr>
          <w:rFonts w:ascii="Arial" w:hAnsi="Arial" w:cs="Arial"/>
          <w:sz w:val="28"/>
          <w:szCs w:val="28"/>
        </w:rPr>
        <w:t>DA</w:t>
      </w:r>
      <w:r w:rsidR="007E4F46">
        <w:rPr>
          <w:rFonts w:ascii="Arial" w:hAnsi="Arial" w:cs="Arial"/>
          <w:sz w:val="28"/>
          <w:szCs w:val="28"/>
        </w:rPr>
        <w:t xml:space="preserve">s within </w:t>
      </w:r>
      <w:r w:rsidRPr="7AD5C25C">
        <w:rPr>
          <w:rFonts w:ascii="Arial" w:hAnsi="Arial" w:cs="Arial"/>
          <w:sz w:val="28"/>
          <w:szCs w:val="28"/>
        </w:rPr>
        <w:t xml:space="preserve">short </w:t>
      </w:r>
      <w:r w:rsidR="007E4F46">
        <w:rPr>
          <w:rFonts w:ascii="Arial" w:hAnsi="Arial" w:cs="Arial"/>
          <w:sz w:val="28"/>
          <w:szCs w:val="28"/>
        </w:rPr>
        <w:t>period of time</w:t>
      </w:r>
      <w:r w:rsidRPr="7AD5C25C">
        <w:rPr>
          <w:rFonts w:ascii="Arial" w:hAnsi="Arial" w:cs="Arial"/>
          <w:sz w:val="28"/>
          <w:szCs w:val="28"/>
        </w:rPr>
        <w:t xml:space="preserve">. Therefore, it will be difficult to accurately determine the value of </w:t>
      </w:r>
      <w:r w:rsidR="00F612DA">
        <w:rPr>
          <w:rFonts w:ascii="Arial" w:hAnsi="Arial" w:cs="Arial"/>
          <w:sz w:val="28"/>
          <w:szCs w:val="28"/>
        </w:rPr>
        <w:t>DA</w:t>
      </w:r>
      <w:r w:rsidRPr="7AD5C25C">
        <w:rPr>
          <w:rFonts w:ascii="Arial" w:hAnsi="Arial" w:cs="Arial"/>
          <w:sz w:val="28"/>
          <w:szCs w:val="28"/>
        </w:rPr>
        <w:t xml:space="preserve"> at the time of the tax crime. Thus, in relation to the materials of tax audits, the relevant examinations will always be required. Thus, it is quite difficult for law enforcement agencies to prove that the actions of the evader were intentional or intentional.</w:t>
      </w:r>
    </w:p>
    <w:p w14:paraId="45BC4219" w14:textId="1375A2BE" w:rsidR="00015A89" w:rsidRPr="007B3F28" w:rsidRDefault="00015A89" w:rsidP="003B475F">
      <w:pPr>
        <w:spacing w:line="360" w:lineRule="auto"/>
        <w:jc w:val="both"/>
        <w:rPr>
          <w:rFonts w:ascii="Arial" w:hAnsi="Arial" w:cs="Arial"/>
          <w:sz w:val="28"/>
          <w:szCs w:val="28"/>
        </w:rPr>
      </w:pPr>
      <w:r>
        <w:rPr>
          <w:rFonts w:ascii="Arial" w:hAnsi="Arial" w:cs="Arial"/>
          <w:sz w:val="28"/>
          <w:szCs w:val="28"/>
        </w:rPr>
        <w:t xml:space="preserve">In addition, this part of the threats also includes the possibility of saving unaccounted income in the form of </w:t>
      </w:r>
      <w:r w:rsidR="001570CD">
        <w:rPr>
          <w:rFonts w:ascii="Arial" w:hAnsi="Arial" w:cs="Arial"/>
          <w:sz w:val="28"/>
          <w:szCs w:val="28"/>
        </w:rPr>
        <w:t xml:space="preserve">the </w:t>
      </w:r>
      <w:r w:rsidR="00F612DA">
        <w:rPr>
          <w:rFonts w:ascii="Arial" w:hAnsi="Arial" w:cs="Arial"/>
          <w:sz w:val="28"/>
          <w:szCs w:val="28"/>
        </w:rPr>
        <w:t>DA</w:t>
      </w:r>
      <w:r>
        <w:rPr>
          <w:rFonts w:ascii="Arial" w:hAnsi="Arial" w:cs="Arial"/>
          <w:sz w:val="28"/>
          <w:szCs w:val="28"/>
        </w:rPr>
        <w:t xml:space="preserve"> (unaccounted capital gains, mining of digital assets, etc.). Also, businesses can fraudulently reduce their reported revenue by using </w:t>
      </w:r>
      <w:r w:rsidR="004E0EDE">
        <w:rPr>
          <w:rFonts w:ascii="Arial" w:hAnsi="Arial" w:cs="Arial"/>
          <w:sz w:val="28"/>
          <w:szCs w:val="28"/>
        </w:rPr>
        <w:t>DAs</w:t>
      </w:r>
      <w:r>
        <w:rPr>
          <w:rFonts w:ascii="Arial" w:hAnsi="Arial" w:cs="Arial"/>
          <w:sz w:val="28"/>
          <w:szCs w:val="28"/>
        </w:rPr>
        <w:t>, for example, as part of false invoicing schemes.</w:t>
      </w:r>
    </w:p>
    <w:p w14:paraId="26803389" w14:textId="1B41DC1A" w:rsidR="007163C9" w:rsidRPr="007B3F28" w:rsidRDefault="00E541A9" w:rsidP="003B475F">
      <w:pPr>
        <w:spacing w:line="360" w:lineRule="auto"/>
        <w:jc w:val="both"/>
        <w:rPr>
          <w:rFonts w:ascii="Arial" w:hAnsi="Arial" w:cs="Arial"/>
          <w:sz w:val="28"/>
          <w:szCs w:val="28"/>
        </w:rPr>
      </w:pPr>
      <w:r w:rsidRPr="00E541A9">
        <w:rPr>
          <w:rFonts w:ascii="Arial" w:hAnsi="Arial" w:cs="Arial"/>
          <w:sz w:val="28"/>
          <w:szCs w:val="28"/>
        </w:rPr>
        <w:t xml:space="preserve">These circumstances in their entirety inevitably lead to a decrease in the effectiveness of the fight against tax evasion. </w:t>
      </w:r>
    </w:p>
    <w:p w14:paraId="2DFA568D" w14:textId="74AFAFD8" w:rsidR="00071DD3" w:rsidRPr="005078B5" w:rsidRDefault="00071DD3" w:rsidP="003B475F">
      <w:pPr>
        <w:pStyle w:val="ListParagraph"/>
        <w:numPr>
          <w:ilvl w:val="0"/>
          <w:numId w:val="8"/>
        </w:numPr>
        <w:spacing w:line="360" w:lineRule="auto"/>
        <w:ind w:left="0" w:firstLine="0"/>
        <w:jc w:val="both"/>
        <w:outlineLvl w:val="1"/>
        <w:rPr>
          <w:rFonts w:ascii="Arial" w:hAnsi="Arial" w:cs="Arial"/>
          <w:b/>
          <w:bCs/>
          <w:sz w:val="28"/>
          <w:szCs w:val="28"/>
          <w:lang w:val="ru-RU"/>
        </w:rPr>
      </w:pPr>
      <w:bookmarkStart w:id="5" w:name="_Toc170314418"/>
      <w:r w:rsidRPr="005078B5">
        <w:rPr>
          <w:rFonts w:ascii="Arial" w:hAnsi="Arial" w:cs="Arial"/>
          <w:b/>
          <w:bCs/>
          <w:sz w:val="28"/>
          <w:szCs w:val="28"/>
        </w:rPr>
        <w:t>Corruption</w:t>
      </w:r>
      <w:bookmarkEnd w:id="5"/>
    </w:p>
    <w:p w14:paraId="2C0E9852" w14:textId="736E7AA0" w:rsidR="00D631BA" w:rsidRPr="007B3F28" w:rsidRDefault="00F612DA" w:rsidP="003B475F">
      <w:pPr>
        <w:spacing w:line="360" w:lineRule="auto"/>
        <w:jc w:val="both"/>
        <w:rPr>
          <w:rFonts w:ascii="Arial" w:eastAsia="Arial" w:hAnsi="Arial" w:cs="Arial"/>
          <w:sz w:val="28"/>
          <w:szCs w:val="28"/>
        </w:rPr>
      </w:pPr>
      <w:bookmarkStart w:id="6" w:name="_Toc165366343"/>
      <w:r>
        <w:rPr>
          <w:rFonts w:ascii="Arial" w:hAnsi="Arial" w:cs="Arial"/>
          <w:sz w:val="28"/>
          <w:szCs w:val="28"/>
        </w:rPr>
        <w:t>D</w:t>
      </w:r>
      <w:r w:rsidR="0099354E" w:rsidRPr="1367BA36">
        <w:rPr>
          <w:rFonts w:ascii="Arial" w:hAnsi="Arial" w:cs="Arial"/>
          <w:sz w:val="28"/>
          <w:szCs w:val="28"/>
        </w:rPr>
        <w:t xml:space="preserve">A can be the subject of corruption crimes. The </w:t>
      </w:r>
      <w:r>
        <w:rPr>
          <w:rFonts w:ascii="Arial" w:hAnsi="Arial" w:cs="Arial"/>
          <w:sz w:val="28"/>
          <w:szCs w:val="28"/>
        </w:rPr>
        <w:t>D</w:t>
      </w:r>
      <w:r w:rsidR="0099354E" w:rsidRPr="1367BA36">
        <w:rPr>
          <w:rFonts w:ascii="Arial" w:hAnsi="Arial" w:cs="Arial"/>
          <w:sz w:val="28"/>
          <w:szCs w:val="28"/>
        </w:rPr>
        <w:t xml:space="preserve">A ecosystem is potentially attractive to corrupt PEPs. Officials can use </w:t>
      </w:r>
      <w:r>
        <w:rPr>
          <w:rFonts w:ascii="Arial" w:hAnsi="Arial" w:cs="Arial"/>
          <w:sz w:val="28"/>
          <w:szCs w:val="28"/>
        </w:rPr>
        <w:t>D</w:t>
      </w:r>
      <w:r w:rsidR="0099354E" w:rsidRPr="1367BA36">
        <w:rPr>
          <w:rFonts w:ascii="Arial" w:hAnsi="Arial" w:cs="Arial"/>
          <w:sz w:val="28"/>
          <w:szCs w:val="28"/>
        </w:rPr>
        <w:t>A</w:t>
      </w:r>
      <w:r w:rsidR="001570CD">
        <w:rPr>
          <w:rFonts w:ascii="Arial" w:hAnsi="Arial" w:cs="Arial"/>
          <w:sz w:val="28"/>
          <w:szCs w:val="28"/>
        </w:rPr>
        <w:t>s</w:t>
      </w:r>
      <w:r w:rsidR="0099354E" w:rsidRPr="1367BA36">
        <w:rPr>
          <w:rFonts w:ascii="Arial" w:hAnsi="Arial" w:cs="Arial"/>
          <w:sz w:val="28"/>
          <w:szCs w:val="28"/>
        </w:rPr>
        <w:t xml:space="preserve"> both to commit acts of corruption and to launder criminal proceeds related to state corruption. </w:t>
      </w:r>
      <w:bookmarkEnd w:id="6"/>
      <w:r w:rsidR="00A30FD3" w:rsidRPr="00A30FD3">
        <w:rPr>
          <w:rFonts w:ascii="Arial" w:eastAsia="Arial" w:hAnsi="Arial" w:cs="Arial"/>
          <w:sz w:val="28"/>
          <w:szCs w:val="28"/>
        </w:rPr>
        <w:t xml:space="preserve">Another possibility for PEPs to use </w:t>
      </w:r>
      <w:r w:rsidR="00A30FD3">
        <w:rPr>
          <w:rFonts w:ascii="Arial" w:eastAsia="Arial" w:hAnsi="Arial" w:cs="Arial"/>
          <w:sz w:val="28"/>
          <w:szCs w:val="28"/>
        </w:rPr>
        <w:t>DA</w:t>
      </w:r>
      <w:r w:rsidR="001570CD">
        <w:rPr>
          <w:rFonts w:ascii="Arial" w:eastAsia="Arial" w:hAnsi="Arial" w:cs="Arial"/>
          <w:sz w:val="28"/>
          <w:szCs w:val="28"/>
        </w:rPr>
        <w:t>s</w:t>
      </w:r>
      <w:r w:rsidR="00A30FD3" w:rsidRPr="00A30FD3">
        <w:rPr>
          <w:rFonts w:ascii="Arial" w:eastAsia="Arial" w:hAnsi="Arial" w:cs="Arial"/>
          <w:sz w:val="28"/>
          <w:szCs w:val="28"/>
        </w:rPr>
        <w:t xml:space="preserve"> is to receive a bribe in the form of </w:t>
      </w:r>
      <w:r w:rsidR="001570CD">
        <w:rPr>
          <w:rFonts w:ascii="Arial" w:eastAsia="Arial" w:hAnsi="Arial" w:cs="Arial"/>
          <w:sz w:val="28"/>
          <w:szCs w:val="28"/>
        </w:rPr>
        <w:t xml:space="preserve">the </w:t>
      </w:r>
      <w:r w:rsidR="00A30FD3">
        <w:rPr>
          <w:rFonts w:ascii="Arial" w:eastAsia="Arial" w:hAnsi="Arial" w:cs="Arial"/>
          <w:sz w:val="28"/>
          <w:szCs w:val="28"/>
        </w:rPr>
        <w:t>DA.</w:t>
      </w:r>
    </w:p>
    <w:p w14:paraId="59FC3725" w14:textId="65F821E9" w:rsidR="00D631BA" w:rsidRPr="007B3F28" w:rsidRDefault="00D631BA" w:rsidP="003B475F">
      <w:pPr>
        <w:spacing w:line="360" w:lineRule="auto"/>
        <w:jc w:val="both"/>
        <w:rPr>
          <w:rFonts w:ascii="Arial" w:eastAsia="Arial" w:hAnsi="Arial" w:cs="Arial"/>
          <w:sz w:val="28"/>
          <w:szCs w:val="28"/>
        </w:rPr>
      </w:pPr>
      <w:r w:rsidRPr="00D631BA">
        <w:rPr>
          <w:rFonts w:ascii="Arial" w:eastAsia="Arial" w:hAnsi="Arial" w:cs="Arial"/>
          <w:sz w:val="28"/>
          <w:szCs w:val="28"/>
        </w:rPr>
        <w:t xml:space="preserve">Corrupt PEPs can </w:t>
      </w:r>
      <w:proofErr w:type="spellStart"/>
      <w:r w:rsidR="00565444">
        <w:rPr>
          <w:rFonts w:ascii="Arial" w:eastAsia="Arial" w:hAnsi="Arial" w:cs="Arial"/>
          <w:sz w:val="28"/>
          <w:szCs w:val="28"/>
        </w:rPr>
        <w:t>illegaly</w:t>
      </w:r>
      <w:proofErr w:type="spellEnd"/>
      <w:r w:rsidR="00565444">
        <w:rPr>
          <w:rFonts w:ascii="Arial" w:eastAsia="Arial" w:hAnsi="Arial" w:cs="Arial"/>
          <w:sz w:val="28"/>
          <w:szCs w:val="28"/>
        </w:rPr>
        <w:t xml:space="preserve"> </w:t>
      </w:r>
      <w:r w:rsidR="002026FB">
        <w:rPr>
          <w:rFonts w:ascii="Arial" w:eastAsia="Arial" w:hAnsi="Arial" w:cs="Arial"/>
          <w:sz w:val="28"/>
          <w:szCs w:val="28"/>
        </w:rPr>
        <w:t>obtain</w:t>
      </w:r>
      <w:r w:rsidR="006D70DF" w:rsidRPr="00D631BA">
        <w:rPr>
          <w:rFonts w:ascii="Arial" w:eastAsia="Arial" w:hAnsi="Arial" w:cs="Arial"/>
          <w:sz w:val="28"/>
          <w:szCs w:val="28"/>
        </w:rPr>
        <w:t xml:space="preserve"> </w:t>
      </w:r>
      <w:r w:rsidRPr="00D631BA">
        <w:rPr>
          <w:rFonts w:ascii="Arial" w:eastAsia="Arial" w:hAnsi="Arial" w:cs="Arial"/>
          <w:sz w:val="28"/>
          <w:szCs w:val="28"/>
        </w:rPr>
        <w:t xml:space="preserve">funds from state budgets or procurement contracts and convert them into </w:t>
      </w:r>
      <w:r w:rsidR="00A30FD3">
        <w:rPr>
          <w:rFonts w:ascii="Arial" w:eastAsia="Arial" w:hAnsi="Arial" w:cs="Arial"/>
          <w:sz w:val="28"/>
          <w:szCs w:val="28"/>
        </w:rPr>
        <w:t>D</w:t>
      </w:r>
      <w:r w:rsidRPr="00D631BA">
        <w:rPr>
          <w:rFonts w:ascii="Arial" w:eastAsia="Arial" w:hAnsi="Arial" w:cs="Arial"/>
          <w:sz w:val="28"/>
          <w:szCs w:val="28"/>
        </w:rPr>
        <w:t xml:space="preserve">As through </w:t>
      </w:r>
      <w:r w:rsidR="00A30FD3">
        <w:rPr>
          <w:rFonts w:ascii="Arial" w:eastAsia="Arial" w:hAnsi="Arial" w:cs="Arial"/>
          <w:sz w:val="28"/>
          <w:szCs w:val="28"/>
        </w:rPr>
        <w:t>DASP</w:t>
      </w:r>
      <w:r w:rsidRPr="00D631BA">
        <w:rPr>
          <w:rFonts w:ascii="Arial" w:eastAsia="Arial" w:hAnsi="Arial" w:cs="Arial"/>
          <w:sz w:val="28"/>
          <w:szCs w:val="28"/>
        </w:rPr>
        <w:t xml:space="preserve">s, which facilitates the movement of funds across borders and avoids traditional financial controls. Once converted, illicit funds can be mixed or legalized through services that hide transaction history and make it difficult to trace the source of funds </w:t>
      </w:r>
      <w:r w:rsidRPr="00D631BA">
        <w:rPr>
          <w:rFonts w:ascii="Arial" w:eastAsia="Arial" w:hAnsi="Arial" w:cs="Arial"/>
          <w:sz w:val="28"/>
          <w:szCs w:val="28"/>
        </w:rPr>
        <w:lastRenderedPageBreak/>
        <w:t>(</w:t>
      </w:r>
      <w:r w:rsidR="00764D96">
        <w:rPr>
          <w:rFonts w:ascii="Arial" w:eastAsia="Arial" w:hAnsi="Arial" w:cs="Arial"/>
          <w:sz w:val="28"/>
          <w:szCs w:val="28"/>
        </w:rPr>
        <w:t>l</w:t>
      </w:r>
      <w:r w:rsidRPr="00D631BA">
        <w:rPr>
          <w:rFonts w:ascii="Arial" w:eastAsia="Arial" w:hAnsi="Arial" w:cs="Arial"/>
          <w:sz w:val="28"/>
          <w:szCs w:val="28"/>
        </w:rPr>
        <w:t>ayering). Such funds can then be used to invest in real estate or other assets (</w:t>
      </w:r>
      <w:r w:rsidR="00764D96">
        <w:rPr>
          <w:rFonts w:ascii="Arial" w:eastAsia="Arial" w:hAnsi="Arial" w:cs="Arial"/>
          <w:sz w:val="28"/>
          <w:szCs w:val="28"/>
        </w:rPr>
        <w:t>i</w:t>
      </w:r>
      <w:r w:rsidRPr="00D631BA">
        <w:rPr>
          <w:rFonts w:ascii="Arial" w:eastAsia="Arial" w:hAnsi="Arial" w:cs="Arial"/>
          <w:sz w:val="28"/>
          <w:szCs w:val="28"/>
        </w:rPr>
        <w:t>ntegration), as well as to continue corrupt activities.</w:t>
      </w:r>
    </w:p>
    <w:p w14:paraId="1B858CFD" w14:textId="19BEB7C1" w:rsidR="002B4F6B" w:rsidRPr="005078B5" w:rsidRDefault="007D1C2F" w:rsidP="003B475F">
      <w:pPr>
        <w:pStyle w:val="ListParagraph"/>
        <w:numPr>
          <w:ilvl w:val="0"/>
          <w:numId w:val="8"/>
        </w:numPr>
        <w:spacing w:line="360" w:lineRule="auto"/>
        <w:ind w:left="0" w:firstLine="0"/>
        <w:jc w:val="both"/>
        <w:outlineLvl w:val="1"/>
        <w:rPr>
          <w:rFonts w:ascii="Arial" w:hAnsi="Arial" w:cs="Arial"/>
          <w:b/>
          <w:bCs/>
          <w:sz w:val="28"/>
          <w:szCs w:val="28"/>
          <w:lang w:val="ru-RU"/>
        </w:rPr>
      </w:pPr>
      <w:bookmarkStart w:id="7" w:name="_Toc170314419"/>
      <w:r w:rsidRPr="005078B5">
        <w:rPr>
          <w:rFonts w:ascii="Arial" w:hAnsi="Arial" w:cs="Arial"/>
          <w:b/>
          <w:bCs/>
          <w:sz w:val="28"/>
          <w:szCs w:val="28"/>
        </w:rPr>
        <w:t>Cybercrime</w:t>
      </w:r>
      <w:bookmarkEnd w:id="7"/>
    </w:p>
    <w:p w14:paraId="416891A6" w14:textId="11512B5D" w:rsidR="007D1C2F" w:rsidRPr="007B3F28" w:rsidRDefault="4E14FA00" w:rsidP="003B475F">
      <w:pPr>
        <w:spacing w:line="360" w:lineRule="auto"/>
        <w:jc w:val="both"/>
        <w:rPr>
          <w:rFonts w:ascii="Arial" w:hAnsi="Arial" w:cs="Arial"/>
          <w:sz w:val="28"/>
          <w:szCs w:val="28"/>
        </w:rPr>
      </w:pPr>
      <w:r w:rsidRPr="68A3C7B1">
        <w:rPr>
          <w:rFonts w:ascii="Arial" w:hAnsi="Arial" w:cs="Arial"/>
          <w:sz w:val="28"/>
          <w:szCs w:val="28"/>
        </w:rPr>
        <w:t xml:space="preserve">The technological features of </w:t>
      </w:r>
      <w:r w:rsidR="474F9793" w:rsidRPr="68A3C7B1">
        <w:rPr>
          <w:rFonts w:ascii="Arial" w:hAnsi="Arial" w:cs="Arial"/>
          <w:sz w:val="28"/>
          <w:szCs w:val="28"/>
        </w:rPr>
        <w:t>DA</w:t>
      </w:r>
      <w:r w:rsidR="049B0BC3" w:rsidRPr="68A3C7B1">
        <w:rPr>
          <w:rFonts w:ascii="Arial" w:hAnsi="Arial" w:cs="Arial"/>
          <w:sz w:val="28"/>
          <w:szCs w:val="28"/>
        </w:rPr>
        <w:t>s</w:t>
      </w:r>
      <w:r w:rsidRPr="68A3C7B1">
        <w:rPr>
          <w:rFonts w:ascii="Arial" w:hAnsi="Arial" w:cs="Arial"/>
          <w:sz w:val="28"/>
          <w:szCs w:val="28"/>
        </w:rPr>
        <w:t xml:space="preserve"> make them an attractive target for cybercriminals. </w:t>
      </w:r>
    </w:p>
    <w:p w14:paraId="6F88AD04" w14:textId="5985270E" w:rsidR="00513BD4" w:rsidRDefault="00513BD4" w:rsidP="003B475F">
      <w:pPr>
        <w:spacing w:line="360" w:lineRule="auto"/>
        <w:jc w:val="both"/>
        <w:rPr>
          <w:rFonts w:ascii="Arial" w:hAnsi="Arial" w:cs="Arial"/>
          <w:sz w:val="28"/>
          <w:szCs w:val="28"/>
        </w:rPr>
      </w:pPr>
      <w:r w:rsidRPr="00C4258F">
        <w:rPr>
          <w:rFonts w:ascii="Arial" w:hAnsi="Arial" w:cs="Arial"/>
          <w:sz w:val="28"/>
          <w:szCs w:val="28"/>
        </w:rPr>
        <w:t>Cybercrime encompasses a range of criminal activities such as hacking, theft, ransom, extortion, and denial of service</w:t>
      </w:r>
      <w:r w:rsidR="008C730E">
        <w:rPr>
          <w:rFonts w:ascii="Arial" w:hAnsi="Arial" w:cs="Arial"/>
          <w:sz w:val="28"/>
          <w:szCs w:val="28"/>
        </w:rPr>
        <w:t xml:space="preserve"> of attack</w:t>
      </w:r>
      <w:r w:rsidRPr="00C4258F">
        <w:rPr>
          <w:rFonts w:ascii="Arial" w:hAnsi="Arial" w:cs="Arial"/>
          <w:sz w:val="28"/>
          <w:szCs w:val="28"/>
        </w:rPr>
        <w:t xml:space="preserve">, which can generate huge illicit profits that are nearly impossible to trace and recover. Cybercriminals may remain anonymous/pseudonymous, which hinders the effective investigation of both the predicate offence and related money laundering. </w:t>
      </w:r>
    </w:p>
    <w:p w14:paraId="2739ECC4" w14:textId="2104C20D" w:rsidR="00A30FD3" w:rsidRPr="007B3F28" w:rsidRDefault="00A30FD3" w:rsidP="003B475F">
      <w:pPr>
        <w:spacing w:line="360" w:lineRule="auto"/>
        <w:jc w:val="both"/>
        <w:rPr>
          <w:rFonts w:ascii="Arial" w:hAnsi="Arial" w:cs="Arial"/>
          <w:sz w:val="28"/>
          <w:szCs w:val="28"/>
        </w:rPr>
      </w:pPr>
      <w:r w:rsidRPr="00A30FD3">
        <w:rPr>
          <w:rFonts w:ascii="Arial" w:hAnsi="Arial" w:cs="Arial"/>
          <w:sz w:val="28"/>
          <w:szCs w:val="28"/>
        </w:rPr>
        <w:t>The use of 'hot' crypto wallets, which, despite their inherent insecurity, are still used by many custodians to provide an easily accessible liquidity pool, only increases the risk of cybercrime.</w:t>
      </w:r>
    </w:p>
    <w:p w14:paraId="0EDA1848" w14:textId="5EE59DD9" w:rsidR="0019426D" w:rsidRPr="00A30FD3" w:rsidRDefault="214DF83C" w:rsidP="003B475F">
      <w:pPr>
        <w:pStyle w:val="ListParagraph"/>
        <w:numPr>
          <w:ilvl w:val="0"/>
          <w:numId w:val="8"/>
        </w:numPr>
        <w:spacing w:line="360" w:lineRule="auto"/>
        <w:ind w:left="360"/>
        <w:jc w:val="both"/>
        <w:outlineLvl w:val="1"/>
        <w:rPr>
          <w:rFonts w:ascii="Arial" w:eastAsia="Arial" w:hAnsi="Arial" w:cs="Arial"/>
          <w:b/>
          <w:bCs/>
          <w:sz w:val="28"/>
          <w:szCs w:val="28"/>
        </w:rPr>
      </w:pPr>
      <w:bookmarkStart w:id="8" w:name="_Toc170314420"/>
      <w:r w:rsidRPr="001E4E81">
        <w:rPr>
          <w:rFonts w:ascii="Arial" w:eastAsia="Arial" w:hAnsi="Arial" w:cs="Arial"/>
          <w:b/>
          <w:bCs/>
          <w:sz w:val="28"/>
          <w:szCs w:val="28"/>
        </w:rPr>
        <w:t>Trading in the Darknet</w:t>
      </w:r>
      <w:bookmarkEnd w:id="8"/>
    </w:p>
    <w:p w14:paraId="54FC162B" w14:textId="7CC40DF7" w:rsidR="2F29E751" w:rsidRPr="007B3F28" w:rsidRDefault="6EEE7145" w:rsidP="003B475F">
      <w:pPr>
        <w:spacing w:line="360" w:lineRule="auto"/>
        <w:jc w:val="both"/>
        <w:rPr>
          <w:rFonts w:ascii="Arial" w:eastAsia="Arial" w:hAnsi="Arial" w:cs="Arial"/>
          <w:sz w:val="28"/>
          <w:szCs w:val="28"/>
        </w:rPr>
      </w:pPr>
      <w:r w:rsidRPr="68A3C7B1">
        <w:rPr>
          <w:rFonts w:ascii="Arial" w:eastAsia="Arial" w:hAnsi="Arial" w:cs="Arial"/>
          <w:sz w:val="28"/>
          <w:szCs w:val="28"/>
        </w:rPr>
        <w:t>DAs</w:t>
      </w:r>
      <w:r w:rsidR="24C858C5" w:rsidRPr="68A3C7B1">
        <w:rPr>
          <w:rFonts w:ascii="Arial" w:eastAsia="Arial" w:hAnsi="Arial" w:cs="Arial"/>
          <w:sz w:val="28"/>
          <w:szCs w:val="28"/>
        </w:rPr>
        <w:t xml:space="preserve"> can be used to trade on the Darknet and gain access to illegal content, such as CSAM (Child Sexual Exploitation Material). Thus, according to the </w:t>
      </w:r>
      <w:proofErr w:type="spellStart"/>
      <w:r w:rsidR="24C858C5" w:rsidRPr="68A3C7B1">
        <w:rPr>
          <w:rFonts w:ascii="Arial" w:eastAsia="Arial" w:hAnsi="Arial" w:cs="Arial"/>
          <w:sz w:val="28"/>
          <w:szCs w:val="28"/>
        </w:rPr>
        <w:t>Chainalysis</w:t>
      </w:r>
      <w:proofErr w:type="spellEnd"/>
      <w:r w:rsidR="24C858C5" w:rsidRPr="68A3C7B1">
        <w:rPr>
          <w:rFonts w:ascii="Arial" w:eastAsia="Arial" w:hAnsi="Arial" w:cs="Arial"/>
          <w:sz w:val="28"/>
          <w:szCs w:val="28"/>
        </w:rPr>
        <w:t xml:space="preserve"> report, the role of </w:t>
      </w:r>
      <w:r w:rsidR="474F9793" w:rsidRPr="68A3C7B1">
        <w:rPr>
          <w:rFonts w:ascii="Arial" w:eastAsia="Arial" w:hAnsi="Arial" w:cs="Arial"/>
          <w:sz w:val="28"/>
          <w:szCs w:val="28"/>
        </w:rPr>
        <w:t>DA</w:t>
      </w:r>
      <w:r w:rsidR="75CCD449" w:rsidRPr="68A3C7B1">
        <w:rPr>
          <w:rFonts w:ascii="Arial" w:eastAsia="Arial" w:hAnsi="Arial" w:cs="Arial"/>
          <w:sz w:val="28"/>
          <w:szCs w:val="28"/>
        </w:rPr>
        <w:t>s</w:t>
      </w:r>
      <w:r w:rsidR="24C858C5" w:rsidRPr="68A3C7B1">
        <w:rPr>
          <w:rFonts w:ascii="Arial" w:eastAsia="Arial" w:hAnsi="Arial" w:cs="Arial"/>
          <w:sz w:val="28"/>
          <w:szCs w:val="28"/>
        </w:rPr>
        <w:t xml:space="preserve"> in the sale of CSAM materials has increased significantly. According to the same report, even those </w:t>
      </w:r>
      <w:r w:rsidR="474F9793" w:rsidRPr="68A3C7B1">
        <w:rPr>
          <w:rFonts w:ascii="Arial" w:eastAsia="Arial" w:hAnsi="Arial" w:cs="Arial"/>
          <w:sz w:val="28"/>
          <w:szCs w:val="28"/>
        </w:rPr>
        <w:t>DA</w:t>
      </w:r>
      <w:r w:rsidR="24C858C5" w:rsidRPr="68A3C7B1">
        <w:rPr>
          <w:rFonts w:ascii="Arial" w:eastAsia="Arial" w:hAnsi="Arial" w:cs="Arial"/>
          <w:sz w:val="28"/>
          <w:szCs w:val="28"/>
        </w:rPr>
        <w:t xml:space="preserve"> exchanges that conduct proper KYC procedures face the risk of being affected by CSAM trading. </w:t>
      </w:r>
    </w:p>
    <w:p w14:paraId="10F6FE4C" w14:textId="1AD5C869" w:rsidR="00AD78CF" w:rsidRPr="007B3F28" w:rsidRDefault="00AD78CF" w:rsidP="003B475F">
      <w:pPr>
        <w:spacing w:line="360" w:lineRule="auto"/>
        <w:jc w:val="both"/>
        <w:rPr>
          <w:rFonts w:ascii="Arial" w:eastAsia="Arial" w:hAnsi="Arial" w:cs="Arial"/>
          <w:sz w:val="28"/>
          <w:szCs w:val="28"/>
        </w:rPr>
      </w:pPr>
      <w:r w:rsidRPr="7AD5C25C">
        <w:rPr>
          <w:rFonts w:ascii="Arial" w:eastAsia="Arial" w:hAnsi="Arial" w:cs="Arial"/>
          <w:sz w:val="28"/>
          <w:szCs w:val="28"/>
        </w:rPr>
        <w:t xml:space="preserve">It is widely known that there are digital spaces where CSAM can be bought and sold </w:t>
      </w:r>
      <w:r w:rsidR="00A30FD3">
        <w:rPr>
          <w:rFonts w:ascii="Arial" w:eastAsia="Arial" w:hAnsi="Arial" w:cs="Arial"/>
          <w:sz w:val="28"/>
          <w:szCs w:val="28"/>
        </w:rPr>
        <w:t>by</w:t>
      </w:r>
      <w:r w:rsidRPr="7AD5C25C">
        <w:rPr>
          <w:rFonts w:ascii="Arial" w:eastAsia="Arial" w:hAnsi="Arial" w:cs="Arial"/>
          <w:sz w:val="28"/>
          <w:szCs w:val="28"/>
        </w:rPr>
        <w:t xml:space="preserve"> </w:t>
      </w:r>
      <w:r w:rsidR="00A30FD3" w:rsidRPr="00ED368C">
        <w:rPr>
          <w:rFonts w:ascii="Arial" w:eastAsia="Arial" w:hAnsi="Arial" w:cs="Arial"/>
          <w:sz w:val="28"/>
          <w:szCs w:val="28"/>
        </w:rPr>
        <w:t>DAs</w:t>
      </w:r>
      <w:r w:rsidRPr="00ED368C">
        <w:rPr>
          <w:rFonts w:ascii="Arial" w:eastAsia="Arial" w:hAnsi="Arial" w:cs="Arial"/>
          <w:sz w:val="28"/>
          <w:szCs w:val="28"/>
        </w:rPr>
        <w:t>, and there</w:t>
      </w:r>
      <w:r w:rsidRPr="7AD5C25C">
        <w:rPr>
          <w:rFonts w:ascii="Arial" w:eastAsia="Arial" w:hAnsi="Arial" w:cs="Arial"/>
          <w:sz w:val="28"/>
          <w:szCs w:val="28"/>
        </w:rPr>
        <w:t xml:space="preserve"> are cases when law enforcement agencies of foreign jurisdictions have closed such CSAM platforms as "Welcome to Video", which accept </w:t>
      </w:r>
      <w:r w:rsidR="00822DC0">
        <w:rPr>
          <w:rFonts w:ascii="Arial" w:eastAsia="Arial" w:hAnsi="Arial" w:cs="Arial"/>
          <w:sz w:val="28"/>
          <w:szCs w:val="28"/>
        </w:rPr>
        <w:t>DAs</w:t>
      </w:r>
      <w:r w:rsidRPr="7AD5C25C">
        <w:rPr>
          <w:rFonts w:ascii="Arial" w:eastAsia="Arial" w:hAnsi="Arial" w:cs="Arial"/>
          <w:sz w:val="28"/>
          <w:szCs w:val="28"/>
        </w:rPr>
        <w:t xml:space="preserve"> as payment. </w:t>
      </w:r>
    </w:p>
    <w:p w14:paraId="48200029" w14:textId="49F67E16" w:rsidR="00F614A1" w:rsidRPr="007B3F28" w:rsidRDefault="0D21AFB2" w:rsidP="003B475F">
      <w:pPr>
        <w:spacing w:line="360" w:lineRule="auto"/>
        <w:jc w:val="both"/>
        <w:rPr>
          <w:rFonts w:ascii="Arial" w:eastAsia="Arial" w:hAnsi="Arial" w:cs="Arial"/>
          <w:sz w:val="28"/>
          <w:szCs w:val="28"/>
        </w:rPr>
      </w:pPr>
      <w:r w:rsidRPr="68A3C7B1">
        <w:rPr>
          <w:rFonts w:ascii="Arial" w:eastAsia="Arial" w:hAnsi="Arial" w:cs="Arial"/>
          <w:sz w:val="28"/>
          <w:szCs w:val="28"/>
        </w:rPr>
        <w:t>The more anonymity a particular type of</w:t>
      </w:r>
      <w:r w:rsidR="6B0F23C5" w:rsidRPr="68A3C7B1">
        <w:rPr>
          <w:rFonts w:ascii="Arial" w:eastAsia="Arial" w:hAnsi="Arial" w:cs="Arial"/>
          <w:sz w:val="28"/>
          <w:szCs w:val="28"/>
        </w:rPr>
        <w:t xml:space="preserve"> </w:t>
      </w:r>
      <w:r w:rsidR="74E5D999" w:rsidRPr="68A3C7B1">
        <w:rPr>
          <w:rFonts w:ascii="Arial" w:eastAsia="Arial" w:hAnsi="Arial" w:cs="Arial"/>
          <w:sz w:val="28"/>
          <w:szCs w:val="28"/>
        </w:rPr>
        <w:t>DA</w:t>
      </w:r>
      <w:r w:rsidRPr="68A3C7B1">
        <w:rPr>
          <w:rFonts w:ascii="Arial" w:eastAsia="Arial" w:hAnsi="Arial" w:cs="Arial"/>
          <w:sz w:val="28"/>
          <w:szCs w:val="28"/>
        </w:rPr>
        <w:t xml:space="preserve"> provides, the greater the chance that CSAM providers will use </w:t>
      </w:r>
      <w:r w:rsidR="74E5D999" w:rsidRPr="68A3C7B1">
        <w:rPr>
          <w:rFonts w:ascii="Arial" w:eastAsia="Arial" w:hAnsi="Arial" w:cs="Arial"/>
          <w:sz w:val="28"/>
          <w:szCs w:val="28"/>
        </w:rPr>
        <w:t>DAs</w:t>
      </w:r>
      <w:r w:rsidRPr="68A3C7B1">
        <w:rPr>
          <w:rFonts w:ascii="Arial" w:eastAsia="Arial" w:hAnsi="Arial" w:cs="Arial"/>
          <w:sz w:val="28"/>
          <w:szCs w:val="28"/>
        </w:rPr>
        <w:t xml:space="preserve">. For example, CSAM providers can benefit </w:t>
      </w:r>
      <w:r w:rsidRPr="68A3C7B1">
        <w:rPr>
          <w:rFonts w:ascii="Arial" w:eastAsia="Arial" w:hAnsi="Arial" w:cs="Arial"/>
          <w:sz w:val="28"/>
          <w:szCs w:val="28"/>
        </w:rPr>
        <w:lastRenderedPageBreak/>
        <w:t>from the use of Monero. Monero is the most popular of the so-called "privacy coins" whose blockchain uses unique privacy-enhancing features that make it harder to track the movement of funds or identify their original source.</w:t>
      </w:r>
    </w:p>
    <w:p w14:paraId="1AA6EF2D" w14:textId="46AB07A3" w:rsidR="214DF83C" w:rsidRPr="001E4E81" w:rsidRDefault="00822DC0" w:rsidP="003B475F">
      <w:pPr>
        <w:pStyle w:val="ListParagraph"/>
        <w:numPr>
          <w:ilvl w:val="0"/>
          <w:numId w:val="8"/>
        </w:numPr>
        <w:spacing w:line="360" w:lineRule="auto"/>
        <w:ind w:left="360"/>
        <w:jc w:val="both"/>
        <w:outlineLvl w:val="1"/>
        <w:rPr>
          <w:rFonts w:ascii="Arial" w:eastAsia="Arial" w:hAnsi="Arial" w:cs="Arial"/>
          <w:b/>
          <w:bCs/>
          <w:sz w:val="28"/>
          <w:szCs w:val="28"/>
          <w:lang w:val="ru"/>
        </w:rPr>
      </w:pPr>
      <w:bookmarkStart w:id="9" w:name="_Toc170314421"/>
      <w:r>
        <w:rPr>
          <w:rFonts w:ascii="Arial" w:eastAsia="Arial" w:hAnsi="Arial" w:cs="Arial"/>
          <w:b/>
          <w:bCs/>
          <w:sz w:val="28"/>
          <w:szCs w:val="28"/>
        </w:rPr>
        <w:t>Sanctions evasion</w:t>
      </w:r>
      <w:bookmarkEnd w:id="9"/>
    </w:p>
    <w:p w14:paraId="69D61D3D" w14:textId="7A36C6F4" w:rsidR="214DF83C" w:rsidRPr="007B3F28" w:rsidRDefault="73974FE9" w:rsidP="003B475F">
      <w:pPr>
        <w:spacing w:line="360" w:lineRule="auto"/>
        <w:jc w:val="both"/>
        <w:rPr>
          <w:rFonts w:ascii="Arial" w:eastAsia="Arial" w:hAnsi="Arial" w:cs="Arial"/>
          <w:sz w:val="28"/>
          <w:szCs w:val="28"/>
        </w:rPr>
      </w:pPr>
      <w:r w:rsidRPr="335D007E">
        <w:rPr>
          <w:rFonts w:ascii="Arial" w:eastAsia="Arial" w:hAnsi="Arial" w:cs="Arial"/>
          <w:sz w:val="28"/>
          <w:szCs w:val="28"/>
        </w:rPr>
        <w:t xml:space="preserve">Another potential threat is the use of </w:t>
      </w:r>
      <w:r w:rsidR="00822DC0">
        <w:rPr>
          <w:rFonts w:ascii="Arial" w:eastAsia="Arial" w:hAnsi="Arial" w:cs="Arial"/>
          <w:sz w:val="28"/>
          <w:szCs w:val="28"/>
        </w:rPr>
        <w:t>DAs</w:t>
      </w:r>
      <w:r w:rsidRPr="335D007E">
        <w:rPr>
          <w:rFonts w:ascii="Arial" w:eastAsia="Arial" w:hAnsi="Arial" w:cs="Arial"/>
          <w:sz w:val="28"/>
          <w:szCs w:val="28"/>
        </w:rPr>
        <w:t xml:space="preserve"> as a </w:t>
      </w:r>
      <w:r w:rsidR="00822DC0">
        <w:rPr>
          <w:rFonts w:ascii="Arial" w:eastAsia="Arial" w:hAnsi="Arial" w:cs="Arial"/>
          <w:sz w:val="28"/>
          <w:szCs w:val="28"/>
        </w:rPr>
        <w:t>tool</w:t>
      </w:r>
      <w:r w:rsidRPr="335D007E">
        <w:rPr>
          <w:rFonts w:ascii="Arial" w:eastAsia="Arial" w:hAnsi="Arial" w:cs="Arial"/>
          <w:sz w:val="28"/>
          <w:szCs w:val="28"/>
        </w:rPr>
        <w:t xml:space="preserve"> to circumvent sanctions. Commercial banks often play a key role in sanctions enforcement, as they trace the sources of funds and check whether individuals or companies are on sanctions lists. In this regard, individuals and legal entities under sanctions can use </w:t>
      </w:r>
      <w:r w:rsidR="00822DC0">
        <w:rPr>
          <w:rFonts w:ascii="Arial" w:eastAsia="Arial" w:hAnsi="Arial" w:cs="Arial"/>
          <w:sz w:val="28"/>
          <w:szCs w:val="28"/>
        </w:rPr>
        <w:t>DAs</w:t>
      </w:r>
      <w:r w:rsidRPr="335D007E">
        <w:rPr>
          <w:rFonts w:ascii="Arial" w:eastAsia="Arial" w:hAnsi="Arial" w:cs="Arial"/>
          <w:sz w:val="28"/>
          <w:szCs w:val="28"/>
        </w:rPr>
        <w:t xml:space="preserve"> to make international payments without the participation of the bank as an intermediary.</w:t>
      </w:r>
    </w:p>
    <w:p w14:paraId="09449294" w14:textId="0639616F" w:rsidR="214DF83C" w:rsidRPr="004F7279" w:rsidRDefault="214DF83C" w:rsidP="003B475F">
      <w:pPr>
        <w:pStyle w:val="ListParagraph"/>
        <w:numPr>
          <w:ilvl w:val="0"/>
          <w:numId w:val="8"/>
        </w:numPr>
        <w:spacing w:line="360" w:lineRule="auto"/>
        <w:ind w:left="360"/>
        <w:jc w:val="both"/>
        <w:outlineLvl w:val="1"/>
        <w:rPr>
          <w:rFonts w:ascii="Arial" w:eastAsia="Arial" w:hAnsi="Arial" w:cs="Arial"/>
          <w:b/>
          <w:bCs/>
          <w:sz w:val="28"/>
          <w:szCs w:val="28"/>
          <w:lang w:val="ru"/>
        </w:rPr>
      </w:pPr>
      <w:bookmarkStart w:id="10" w:name="_Toc170314422"/>
      <w:r w:rsidRPr="004F7279">
        <w:rPr>
          <w:rFonts w:ascii="Arial" w:eastAsia="Arial" w:hAnsi="Arial" w:cs="Arial"/>
          <w:b/>
          <w:bCs/>
          <w:sz w:val="28"/>
          <w:szCs w:val="28"/>
        </w:rPr>
        <w:t>Gambling</w:t>
      </w:r>
      <w:bookmarkEnd w:id="10"/>
      <w:r w:rsidRPr="004F7279">
        <w:rPr>
          <w:rFonts w:ascii="Arial" w:eastAsia="Arial" w:hAnsi="Arial" w:cs="Arial"/>
          <w:b/>
          <w:bCs/>
          <w:sz w:val="28"/>
          <w:szCs w:val="28"/>
        </w:rPr>
        <w:t xml:space="preserve"> </w:t>
      </w:r>
    </w:p>
    <w:p w14:paraId="0B3AEE26" w14:textId="744BEF88" w:rsidR="00892D51" w:rsidRPr="007B3F28" w:rsidRDefault="214DF83C" w:rsidP="003B475F">
      <w:pPr>
        <w:spacing w:line="360" w:lineRule="auto"/>
        <w:jc w:val="both"/>
        <w:rPr>
          <w:rFonts w:ascii="Arial" w:eastAsia="Arial" w:hAnsi="Arial" w:cs="Arial"/>
          <w:sz w:val="28"/>
          <w:szCs w:val="28"/>
        </w:rPr>
      </w:pPr>
      <w:r w:rsidRPr="67290A6E">
        <w:rPr>
          <w:rFonts w:ascii="Arial" w:eastAsia="Arial" w:hAnsi="Arial" w:cs="Arial"/>
          <w:sz w:val="28"/>
          <w:szCs w:val="28"/>
        </w:rPr>
        <w:t xml:space="preserve">The threat of the use of </w:t>
      </w:r>
      <w:r w:rsidR="005B3121">
        <w:rPr>
          <w:rFonts w:ascii="Arial" w:eastAsia="Arial" w:hAnsi="Arial" w:cs="Arial"/>
          <w:sz w:val="28"/>
          <w:szCs w:val="28"/>
        </w:rPr>
        <w:t>DAs</w:t>
      </w:r>
      <w:r w:rsidRPr="67290A6E">
        <w:rPr>
          <w:rFonts w:ascii="Arial" w:eastAsia="Arial" w:hAnsi="Arial" w:cs="Arial"/>
          <w:sz w:val="28"/>
          <w:szCs w:val="28"/>
        </w:rPr>
        <w:t xml:space="preserve"> in the gam</w:t>
      </w:r>
      <w:r w:rsidR="00EB501D">
        <w:rPr>
          <w:rFonts w:ascii="Arial" w:eastAsia="Arial" w:hAnsi="Arial" w:cs="Arial"/>
          <w:sz w:val="28"/>
          <w:szCs w:val="28"/>
        </w:rPr>
        <w:t>bl</w:t>
      </w:r>
      <w:r w:rsidRPr="67290A6E">
        <w:rPr>
          <w:rFonts w:ascii="Arial" w:eastAsia="Arial" w:hAnsi="Arial" w:cs="Arial"/>
          <w:sz w:val="28"/>
          <w:szCs w:val="28"/>
        </w:rPr>
        <w:t xml:space="preserve">ing industry, including the use of illegal casinos and bookmakers for ML, is relevant. One of the ways to use gambling for ML-TF purposes </w:t>
      </w:r>
      <w:r w:rsidR="005B3121">
        <w:rPr>
          <w:rFonts w:ascii="Arial" w:eastAsia="Arial" w:hAnsi="Arial" w:cs="Arial"/>
          <w:sz w:val="28"/>
          <w:szCs w:val="28"/>
        </w:rPr>
        <w:t>by using</w:t>
      </w:r>
      <w:r w:rsidRPr="67290A6E">
        <w:rPr>
          <w:rFonts w:ascii="Arial" w:eastAsia="Arial" w:hAnsi="Arial" w:cs="Arial"/>
          <w:sz w:val="28"/>
          <w:szCs w:val="28"/>
        </w:rPr>
        <w:t xml:space="preserve"> </w:t>
      </w:r>
      <w:r w:rsidR="005B3121">
        <w:rPr>
          <w:rFonts w:ascii="Arial" w:eastAsia="Arial" w:hAnsi="Arial" w:cs="Arial"/>
          <w:sz w:val="28"/>
          <w:szCs w:val="28"/>
        </w:rPr>
        <w:t>DAs</w:t>
      </w:r>
      <w:r w:rsidRPr="67290A6E">
        <w:rPr>
          <w:rFonts w:ascii="Arial" w:eastAsia="Arial" w:hAnsi="Arial" w:cs="Arial"/>
          <w:sz w:val="28"/>
          <w:szCs w:val="28"/>
        </w:rPr>
        <w:t xml:space="preserve"> is to convert illegal funds into the </w:t>
      </w:r>
      <w:r w:rsidR="005B3121">
        <w:rPr>
          <w:rFonts w:ascii="Arial" w:eastAsia="Arial" w:hAnsi="Arial" w:cs="Arial"/>
          <w:sz w:val="28"/>
          <w:szCs w:val="28"/>
        </w:rPr>
        <w:t>DAs</w:t>
      </w:r>
      <w:r w:rsidRPr="67290A6E">
        <w:rPr>
          <w:rFonts w:ascii="Arial" w:eastAsia="Arial" w:hAnsi="Arial" w:cs="Arial"/>
          <w:sz w:val="28"/>
          <w:szCs w:val="28"/>
        </w:rPr>
        <w:t xml:space="preserve">. By depositing illegal funds on gambling platforms that accept </w:t>
      </w:r>
      <w:r w:rsidR="005B3121">
        <w:rPr>
          <w:rFonts w:ascii="Arial" w:eastAsia="Arial" w:hAnsi="Arial" w:cs="Arial"/>
          <w:sz w:val="28"/>
          <w:szCs w:val="28"/>
        </w:rPr>
        <w:t>DAs</w:t>
      </w:r>
      <w:r w:rsidRPr="67290A6E">
        <w:rPr>
          <w:rFonts w:ascii="Arial" w:eastAsia="Arial" w:hAnsi="Arial" w:cs="Arial"/>
          <w:sz w:val="28"/>
          <w:szCs w:val="28"/>
        </w:rPr>
        <w:t xml:space="preserve">, people can effectively launder money by betting, winning or losing, and then cashing out their winnings in the form of pure </w:t>
      </w:r>
      <w:r w:rsidR="005B3121">
        <w:rPr>
          <w:rFonts w:ascii="Arial" w:eastAsia="Arial" w:hAnsi="Arial" w:cs="Arial"/>
          <w:sz w:val="28"/>
          <w:szCs w:val="28"/>
        </w:rPr>
        <w:t>DA</w:t>
      </w:r>
      <w:r w:rsidRPr="67290A6E">
        <w:rPr>
          <w:rFonts w:ascii="Arial" w:eastAsia="Arial" w:hAnsi="Arial" w:cs="Arial"/>
          <w:sz w:val="28"/>
          <w:szCs w:val="28"/>
        </w:rPr>
        <w:t xml:space="preserve">. This process creates a layer of </w:t>
      </w:r>
      <w:r w:rsidR="007462AB">
        <w:rPr>
          <w:rFonts w:ascii="Arial" w:eastAsia="Arial" w:hAnsi="Arial" w:cs="Arial"/>
          <w:sz w:val="28"/>
          <w:szCs w:val="28"/>
        </w:rPr>
        <w:t>disguising</w:t>
      </w:r>
      <w:r w:rsidRPr="67290A6E">
        <w:rPr>
          <w:rFonts w:ascii="Arial" w:eastAsia="Arial" w:hAnsi="Arial" w:cs="Arial"/>
          <w:sz w:val="28"/>
          <w:szCs w:val="28"/>
        </w:rPr>
        <w:t xml:space="preserve"> that can hide the illegal origin of the funds. Terrorist organizations can use online gambling platforms to raise funds for their operations or to transfer funds between individuals and groups without attracting the attention of the authorities. </w:t>
      </w:r>
    </w:p>
    <w:p w14:paraId="5930F11A" w14:textId="7C66B0E7" w:rsidR="67290A6E" w:rsidRPr="007B3F28" w:rsidRDefault="00645E29" w:rsidP="003B475F">
      <w:pPr>
        <w:spacing w:line="360" w:lineRule="auto"/>
        <w:jc w:val="both"/>
      </w:pPr>
      <w:r w:rsidRPr="00645E29">
        <w:rPr>
          <w:rFonts w:ascii="Arial" w:eastAsia="Arial" w:hAnsi="Arial" w:cs="Arial"/>
          <w:sz w:val="28"/>
          <w:szCs w:val="28"/>
        </w:rPr>
        <w:t xml:space="preserve">In addition, the emergence of decentralized finance (DeFi) platforms has </w:t>
      </w:r>
      <w:proofErr w:type="gramStart"/>
      <w:r w:rsidRPr="00645E29">
        <w:rPr>
          <w:rFonts w:ascii="Arial" w:eastAsia="Arial" w:hAnsi="Arial" w:cs="Arial"/>
          <w:sz w:val="28"/>
          <w:szCs w:val="28"/>
        </w:rPr>
        <w:t>opened up</w:t>
      </w:r>
      <w:proofErr w:type="gramEnd"/>
      <w:r w:rsidRPr="00645E29">
        <w:rPr>
          <w:rFonts w:ascii="Arial" w:eastAsia="Arial" w:hAnsi="Arial" w:cs="Arial"/>
          <w:sz w:val="28"/>
          <w:szCs w:val="28"/>
        </w:rPr>
        <w:t xml:space="preserve"> new opportunities for money laundering through gambling. DeFi platforms allow users to access financial services such as lending, borrowing, and trading without resorting to intermediaries. While DeFi provides greater financial inclusion and autonomy, it also poses challenges in terms of regulatory oversight and compliance. Prohibited entities can use decentralized exchanges and lending protocols to launder money by </w:t>
      </w:r>
      <w:r w:rsidRPr="00645E29">
        <w:rPr>
          <w:rFonts w:ascii="Arial" w:eastAsia="Arial" w:hAnsi="Arial" w:cs="Arial"/>
          <w:sz w:val="28"/>
          <w:szCs w:val="28"/>
        </w:rPr>
        <w:lastRenderedPageBreak/>
        <w:t xml:space="preserve">converting illicit funds into </w:t>
      </w:r>
      <w:r w:rsidR="005B3121">
        <w:rPr>
          <w:rFonts w:ascii="Arial" w:eastAsia="Arial" w:hAnsi="Arial" w:cs="Arial"/>
          <w:sz w:val="28"/>
          <w:szCs w:val="28"/>
        </w:rPr>
        <w:t>DAs</w:t>
      </w:r>
      <w:r w:rsidRPr="00645E29">
        <w:rPr>
          <w:rFonts w:ascii="Arial" w:eastAsia="Arial" w:hAnsi="Arial" w:cs="Arial"/>
          <w:sz w:val="28"/>
          <w:szCs w:val="28"/>
        </w:rPr>
        <w:t>, participating in crypto gambling, and then withdrawing their "net" winnings through decentralized liquidity pools.</w:t>
      </w:r>
    </w:p>
    <w:p w14:paraId="579DAF51" w14:textId="7EB1B15A" w:rsidR="123CB193" w:rsidRPr="004F7279" w:rsidRDefault="123CB193" w:rsidP="003B475F">
      <w:pPr>
        <w:pStyle w:val="ListParagraph"/>
        <w:numPr>
          <w:ilvl w:val="0"/>
          <w:numId w:val="8"/>
        </w:numPr>
        <w:spacing w:line="360" w:lineRule="auto"/>
        <w:ind w:left="360"/>
        <w:jc w:val="both"/>
        <w:outlineLvl w:val="1"/>
        <w:rPr>
          <w:rFonts w:ascii="Arial" w:eastAsia="Arial" w:hAnsi="Arial" w:cs="Arial"/>
          <w:b/>
          <w:bCs/>
          <w:sz w:val="28"/>
          <w:szCs w:val="28"/>
          <w:lang w:val="ru"/>
        </w:rPr>
      </w:pPr>
      <w:bookmarkStart w:id="11" w:name="_Toc170314423"/>
      <w:r w:rsidRPr="004F7279">
        <w:rPr>
          <w:rFonts w:ascii="Arial" w:eastAsia="Arial" w:hAnsi="Arial" w:cs="Arial"/>
          <w:b/>
          <w:bCs/>
          <w:sz w:val="28"/>
          <w:szCs w:val="28"/>
        </w:rPr>
        <w:t>Piracy</w:t>
      </w:r>
      <w:bookmarkEnd w:id="11"/>
      <w:r w:rsidRPr="004F7279">
        <w:rPr>
          <w:rFonts w:ascii="Arial" w:eastAsia="Arial" w:hAnsi="Arial" w:cs="Arial"/>
          <w:b/>
          <w:bCs/>
          <w:sz w:val="28"/>
          <w:szCs w:val="28"/>
        </w:rPr>
        <w:t xml:space="preserve"> </w:t>
      </w:r>
    </w:p>
    <w:p w14:paraId="4FD71C20" w14:textId="4AAF7736" w:rsidR="18B58328" w:rsidRPr="007B3F28" w:rsidRDefault="30318A06" w:rsidP="003B475F">
      <w:pPr>
        <w:spacing w:line="360" w:lineRule="auto"/>
        <w:jc w:val="both"/>
        <w:rPr>
          <w:rFonts w:ascii="Arial" w:eastAsia="Arial" w:hAnsi="Arial" w:cs="Arial"/>
          <w:sz w:val="28"/>
          <w:szCs w:val="28"/>
        </w:rPr>
      </w:pPr>
      <w:r w:rsidRPr="68A3C7B1">
        <w:rPr>
          <w:rFonts w:ascii="Arial" w:eastAsia="Arial" w:hAnsi="Arial" w:cs="Arial"/>
          <w:sz w:val="28"/>
          <w:szCs w:val="28"/>
        </w:rPr>
        <w:t>DAs</w:t>
      </w:r>
      <w:r w:rsidR="2A5DB710" w:rsidRPr="68A3C7B1">
        <w:rPr>
          <w:rFonts w:ascii="Arial" w:eastAsia="Arial" w:hAnsi="Arial" w:cs="Arial"/>
          <w:sz w:val="28"/>
          <w:szCs w:val="28"/>
        </w:rPr>
        <w:t xml:space="preserve"> and related technologies are attractive to Internet pirates and are used by them to make a profit </w:t>
      </w:r>
      <w:r w:rsidR="04924239" w:rsidRPr="68A3C7B1">
        <w:rPr>
          <w:rFonts w:ascii="Arial" w:eastAsia="Arial" w:hAnsi="Arial" w:cs="Arial"/>
          <w:sz w:val="28"/>
          <w:szCs w:val="28"/>
        </w:rPr>
        <w:t>by</w:t>
      </w:r>
      <w:r w:rsidR="2A5DB710" w:rsidRPr="68A3C7B1">
        <w:rPr>
          <w:rFonts w:ascii="Arial" w:eastAsia="Arial" w:hAnsi="Arial" w:cs="Arial"/>
          <w:sz w:val="28"/>
          <w:szCs w:val="28"/>
        </w:rPr>
        <w:t xml:space="preserve"> illegally copying, hacking and/or distributing video and audio content, literary works, software and other types of information products. </w:t>
      </w:r>
    </w:p>
    <w:p w14:paraId="4DF2B6F0" w14:textId="0392CE19" w:rsidR="00C2593A" w:rsidRPr="007B3F28" w:rsidRDefault="433C58CB" w:rsidP="003B475F">
      <w:pPr>
        <w:spacing w:line="360" w:lineRule="auto"/>
        <w:jc w:val="both"/>
        <w:rPr>
          <w:rFonts w:ascii="Arial" w:eastAsia="Arial" w:hAnsi="Arial" w:cs="Arial"/>
          <w:sz w:val="28"/>
          <w:szCs w:val="28"/>
        </w:rPr>
      </w:pPr>
      <w:r w:rsidRPr="68A3C7B1">
        <w:rPr>
          <w:rFonts w:ascii="Arial" w:eastAsia="Arial" w:hAnsi="Arial" w:cs="Arial"/>
          <w:sz w:val="28"/>
          <w:szCs w:val="28"/>
        </w:rPr>
        <w:t xml:space="preserve">One of the ways </w:t>
      </w:r>
      <w:proofErr w:type="gramStart"/>
      <w:r w:rsidRPr="68A3C7B1">
        <w:rPr>
          <w:rFonts w:ascii="Arial" w:eastAsia="Arial" w:hAnsi="Arial" w:cs="Arial"/>
          <w:sz w:val="28"/>
          <w:szCs w:val="28"/>
        </w:rPr>
        <w:t>piracy</w:t>
      </w:r>
      <w:proofErr w:type="gramEnd"/>
      <w:r w:rsidRPr="68A3C7B1">
        <w:rPr>
          <w:rFonts w:ascii="Arial" w:eastAsia="Arial" w:hAnsi="Arial" w:cs="Arial"/>
          <w:sz w:val="28"/>
          <w:szCs w:val="28"/>
        </w:rPr>
        <w:t xml:space="preserve"> can contribute to money laundering through the use of </w:t>
      </w:r>
      <w:r w:rsidR="30318A06" w:rsidRPr="68A3C7B1">
        <w:rPr>
          <w:rFonts w:ascii="Arial" w:eastAsia="Arial" w:hAnsi="Arial" w:cs="Arial"/>
          <w:sz w:val="28"/>
          <w:szCs w:val="28"/>
        </w:rPr>
        <w:t>DAs</w:t>
      </w:r>
      <w:r w:rsidRPr="68A3C7B1">
        <w:rPr>
          <w:rFonts w:ascii="Arial" w:eastAsia="Arial" w:hAnsi="Arial" w:cs="Arial"/>
          <w:sz w:val="28"/>
          <w:szCs w:val="28"/>
        </w:rPr>
        <w:t xml:space="preserve"> is the sale of pirated content on online platforms that accept the </w:t>
      </w:r>
      <w:r w:rsidR="6EEE7145" w:rsidRPr="68A3C7B1">
        <w:rPr>
          <w:rFonts w:ascii="Arial" w:eastAsia="Arial" w:hAnsi="Arial" w:cs="Arial"/>
          <w:sz w:val="28"/>
          <w:szCs w:val="28"/>
        </w:rPr>
        <w:t>DAs</w:t>
      </w:r>
      <w:r w:rsidRPr="68A3C7B1">
        <w:rPr>
          <w:rFonts w:ascii="Arial" w:eastAsia="Arial" w:hAnsi="Arial" w:cs="Arial"/>
          <w:sz w:val="28"/>
          <w:szCs w:val="28"/>
        </w:rPr>
        <w:t xml:space="preserve"> as payment. Such marketplaces operate on the Darknet or other anonymous platforms, allowing sellers to  post ads and sell pirated content to buyers around the world</w:t>
      </w:r>
      <w:r w:rsidR="34507C3D" w:rsidRPr="68A3C7B1">
        <w:rPr>
          <w:rFonts w:ascii="Arial" w:eastAsia="Arial" w:hAnsi="Arial" w:cs="Arial"/>
          <w:sz w:val="28"/>
          <w:szCs w:val="28"/>
        </w:rPr>
        <w:t xml:space="preserve"> anonymously</w:t>
      </w:r>
      <w:r w:rsidRPr="68A3C7B1">
        <w:rPr>
          <w:rFonts w:ascii="Arial" w:eastAsia="Arial" w:hAnsi="Arial" w:cs="Arial"/>
          <w:sz w:val="28"/>
          <w:szCs w:val="28"/>
        </w:rPr>
        <w:t xml:space="preserve">. By accepting </w:t>
      </w:r>
      <w:r w:rsidR="1F93C152" w:rsidRPr="68A3C7B1">
        <w:rPr>
          <w:rFonts w:ascii="Arial" w:eastAsia="Arial" w:hAnsi="Arial" w:cs="Arial"/>
          <w:sz w:val="28"/>
          <w:szCs w:val="28"/>
        </w:rPr>
        <w:t>DAs</w:t>
      </w:r>
      <w:r w:rsidRPr="68A3C7B1">
        <w:rPr>
          <w:rFonts w:ascii="Arial" w:eastAsia="Arial" w:hAnsi="Arial" w:cs="Arial"/>
          <w:sz w:val="28"/>
          <w:szCs w:val="28"/>
        </w:rPr>
        <w:t xml:space="preserve"> such as Monero as payment, sellers can hide the source and destination of funds, making it difficult for law enforcement to track and stop these illegal transactions.</w:t>
      </w:r>
    </w:p>
    <w:p w14:paraId="6E9FB367" w14:textId="2FB42BFE" w:rsidR="008E58D2" w:rsidRPr="004F7279" w:rsidRDefault="005D1EB4" w:rsidP="003B475F">
      <w:pPr>
        <w:pStyle w:val="ListParagraph"/>
        <w:numPr>
          <w:ilvl w:val="0"/>
          <w:numId w:val="8"/>
        </w:numPr>
        <w:spacing w:line="360" w:lineRule="auto"/>
        <w:ind w:left="360"/>
        <w:jc w:val="both"/>
        <w:outlineLvl w:val="1"/>
        <w:rPr>
          <w:rFonts w:ascii="Arial" w:hAnsi="Arial" w:cs="Arial"/>
          <w:b/>
          <w:bCs/>
          <w:sz w:val="28"/>
          <w:szCs w:val="28"/>
          <w:lang w:val="ru-RU"/>
        </w:rPr>
      </w:pPr>
      <w:bookmarkStart w:id="12" w:name="_Toc170314424"/>
      <w:r w:rsidRPr="004F7279">
        <w:rPr>
          <w:rFonts w:ascii="Arial" w:hAnsi="Arial" w:cs="Arial"/>
          <w:b/>
          <w:bCs/>
          <w:sz w:val="28"/>
          <w:szCs w:val="28"/>
        </w:rPr>
        <w:t>Financing of terrorism</w:t>
      </w:r>
      <w:bookmarkEnd w:id="12"/>
    </w:p>
    <w:p w14:paraId="6D3652D2" w14:textId="65D442EA" w:rsidR="005D1EB4" w:rsidRPr="007B3F28" w:rsidRDefault="7C622301" w:rsidP="003B475F">
      <w:pPr>
        <w:spacing w:line="360" w:lineRule="auto"/>
        <w:jc w:val="both"/>
        <w:rPr>
          <w:rFonts w:ascii="Arial" w:hAnsi="Arial" w:cs="Arial"/>
          <w:sz w:val="28"/>
          <w:szCs w:val="28"/>
        </w:rPr>
      </w:pPr>
      <w:r w:rsidRPr="68A3C7B1">
        <w:rPr>
          <w:rFonts w:ascii="Arial" w:hAnsi="Arial" w:cs="Arial"/>
          <w:sz w:val="28"/>
          <w:szCs w:val="28"/>
        </w:rPr>
        <w:t xml:space="preserve">One of the ways terrorists finance their activities </w:t>
      </w:r>
      <w:r w:rsidR="1F93C152" w:rsidRPr="68A3C7B1">
        <w:rPr>
          <w:rFonts w:ascii="Arial" w:hAnsi="Arial" w:cs="Arial"/>
          <w:sz w:val="28"/>
          <w:szCs w:val="28"/>
        </w:rPr>
        <w:t>using</w:t>
      </w:r>
      <w:r w:rsidRPr="68A3C7B1">
        <w:rPr>
          <w:rFonts w:ascii="Arial" w:hAnsi="Arial" w:cs="Arial"/>
          <w:sz w:val="28"/>
          <w:szCs w:val="28"/>
        </w:rPr>
        <w:t xml:space="preserve"> </w:t>
      </w:r>
      <w:r w:rsidR="1F93C152" w:rsidRPr="68A3C7B1">
        <w:rPr>
          <w:rFonts w:ascii="Arial" w:hAnsi="Arial" w:cs="Arial"/>
          <w:sz w:val="28"/>
          <w:szCs w:val="28"/>
        </w:rPr>
        <w:t>DAs</w:t>
      </w:r>
      <w:r w:rsidRPr="68A3C7B1">
        <w:rPr>
          <w:rFonts w:ascii="Arial" w:hAnsi="Arial" w:cs="Arial"/>
          <w:sz w:val="28"/>
          <w:szCs w:val="28"/>
        </w:rPr>
        <w:t xml:space="preserve"> is to collect donations from supporters around the world. </w:t>
      </w:r>
      <w:proofErr w:type="spellStart"/>
      <w:r w:rsidRPr="68A3C7B1">
        <w:rPr>
          <w:rFonts w:ascii="Arial" w:hAnsi="Arial" w:cs="Arial"/>
          <w:sz w:val="28"/>
          <w:szCs w:val="28"/>
        </w:rPr>
        <w:t>Crypto</w:t>
      </w:r>
      <w:r w:rsidR="4A2C9CDE" w:rsidRPr="68A3C7B1">
        <w:rPr>
          <w:rFonts w:ascii="Arial" w:hAnsi="Arial" w:cs="Arial"/>
          <w:sz w:val="28"/>
          <w:szCs w:val="28"/>
        </w:rPr>
        <w:t>assets</w:t>
      </w:r>
      <w:proofErr w:type="spellEnd"/>
      <w:r w:rsidRPr="68A3C7B1">
        <w:rPr>
          <w:rFonts w:ascii="Arial" w:hAnsi="Arial" w:cs="Arial"/>
          <w:sz w:val="28"/>
          <w:szCs w:val="28"/>
        </w:rPr>
        <w:t xml:space="preserve"> wallets can be created and publicly distributed, allowing people to anonymously deposit funds to support terrorist causes without fear of detection. These donations can be used to finance a variety of activities, including recruitment, training, dissemination of propaganda, and the purchase of weapons and materials. </w:t>
      </w:r>
    </w:p>
    <w:p w14:paraId="1D89F094" w14:textId="38218800" w:rsidR="00896A35" w:rsidRPr="007B3F28" w:rsidRDefault="320084BA" w:rsidP="003B475F">
      <w:pPr>
        <w:spacing w:line="360" w:lineRule="auto"/>
        <w:jc w:val="both"/>
        <w:rPr>
          <w:rFonts w:ascii="Arial" w:hAnsi="Arial" w:cs="Arial"/>
          <w:sz w:val="28"/>
          <w:szCs w:val="28"/>
        </w:rPr>
      </w:pPr>
      <w:r w:rsidRPr="68A3C7B1">
        <w:rPr>
          <w:rFonts w:ascii="Arial" w:hAnsi="Arial" w:cs="Arial"/>
          <w:sz w:val="28"/>
          <w:szCs w:val="28"/>
        </w:rPr>
        <w:t xml:space="preserve">In addition, terrorist organizations can use crypto exchanges to convert fiat currency into </w:t>
      </w:r>
      <w:r w:rsidR="1F93C152" w:rsidRPr="68A3C7B1">
        <w:rPr>
          <w:rFonts w:ascii="Arial" w:hAnsi="Arial" w:cs="Arial"/>
          <w:sz w:val="28"/>
          <w:szCs w:val="28"/>
        </w:rPr>
        <w:t>DA</w:t>
      </w:r>
      <w:r w:rsidRPr="68A3C7B1">
        <w:rPr>
          <w:rFonts w:ascii="Arial" w:hAnsi="Arial" w:cs="Arial"/>
          <w:sz w:val="28"/>
          <w:szCs w:val="28"/>
        </w:rPr>
        <w:t xml:space="preserve">, which makes it easier to move funds across borders and evade traditional financial control measures. By depositing fiat currency into a </w:t>
      </w:r>
      <w:proofErr w:type="spellStart"/>
      <w:r w:rsidRPr="68A3C7B1">
        <w:rPr>
          <w:rFonts w:ascii="Arial" w:hAnsi="Arial" w:cs="Arial"/>
          <w:sz w:val="28"/>
          <w:szCs w:val="28"/>
        </w:rPr>
        <w:t>cryptoexchange</w:t>
      </w:r>
      <w:proofErr w:type="spellEnd"/>
      <w:r w:rsidRPr="68A3C7B1">
        <w:rPr>
          <w:rFonts w:ascii="Arial" w:hAnsi="Arial" w:cs="Arial"/>
          <w:sz w:val="28"/>
          <w:szCs w:val="28"/>
        </w:rPr>
        <w:t xml:space="preserve">, terrorists can purchase </w:t>
      </w:r>
      <w:proofErr w:type="spellStart"/>
      <w:r w:rsidRPr="68A3C7B1">
        <w:rPr>
          <w:rFonts w:ascii="Arial" w:hAnsi="Arial" w:cs="Arial"/>
          <w:sz w:val="28"/>
          <w:szCs w:val="28"/>
        </w:rPr>
        <w:t>crypto</w:t>
      </w:r>
      <w:r w:rsidR="06F93791" w:rsidRPr="68A3C7B1">
        <w:rPr>
          <w:rFonts w:ascii="Arial" w:hAnsi="Arial" w:cs="Arial"/>
          <w:sz w:val="28"/>
          <w:szCs w:val="28"/>
        </w:rPr>
        <w:t>assets</w:t>
      </w:r>
      <w:proofErr w:type="spellEnd"/>
      <w:r w:rsidRPr="68A3C7B1">
        <w:rPr>
          <w:rFonts w:ascii="Arial" w:hAnsi="Arial" w:cs="Arial"/>
          <w:sz w:val="28"/>
          <w:szCs w:val="28"/>
        </w:rPr>
        <w:t xml:space="preserve"> such as Bitcoin, Ethereum, or Monero, which can then be transferred to other wallets or converted back to fiat currency in a variety of ways. The decentralized and global nature of </w:t>
      </w:r>
      <w:proofErr w:type="spellStart"/>
      <w:r w:rsidRPr="68A3C7B1">
        <w:rPr>
          <w:rFonts w:ascii="Arial" w:hAnsi="Arial" w:cs="Arial"/>
          <w:sz w:val="28"/>
          <w:szCs w:val="28"/>
        </w:rPr>
        <w:t>crypto</w:t>
      </w:r>
      <w:r w:rsidR="7FB7EB75" w:rsidRPr="68A3C7B1">
        <w:rPr>
          <w:rFonts w:ascii="Arial" w:hAnsi="Arial" w:cs="Arial"/>
          <w:sz w:val="28"/>
          <w:szCs w:val="28"/>
        </w:rPr>
        <w:t>assets</w:t>
      </w:r>
      <w:proofErr w:type="spellEnd"/>
      <w:r w:rsidRPr="68A3C7B1">
        <w:rPr>
          <w:rFonts w:ascii="Arial" w:hAnsi="Arial" w:cs="Arial"/>
          <w:sz w:val="28"/>
          <w:szCs w:val="28"/>
        </w:rPr>
        <w:t xml:space="preserve"> makes it difficult for authorities to track and </w:t>
      </w:r>
      <w:r w:rsidRPr="68A3C7B1">
        <w:rPr>
          <w:rFonts w:ascii="Arial" w:hAnsi="Arial" w:cs="Arial"/>
          <w:sz w:val="28"/>
          <w:szCs w:val="28"/>
        </w:rPr>
        <w:lastRenderedPageBreak/>
        <w:t>disrupt these illicit financial transactions, allowing terrorists to move funds with relative impunity.</w:t>
      </w:r>
    </w:p>
    <w:tbl>
      <w:tblPr>
        <w:tblStyle w:val="TableGrid"/>
        <w:tblW w:w="0" w:type="auto"/>
        <w:tblLook w:val="04A0" w:firstRow="1" w:lastRow="0" w:firstColumn="1" w:lastColumn="0" w:noHBand="0" w:noVBand="1"/>
      </w:tblPr>
      <w:tblGrid>
        <w:gridCol w:w="9345"/>
      </w:tblGrid>
      <w:tr w:rsidR="0057213E" w:rsidRPr="00D12FAD" w14:paraId="6FBDF3D2" w14:textId="77777777" w:rsidTr="7AD5C25C">
        <w:tc>
          <w:tcPr>
            <w:tcW w:w="9345" w:type="dxa"/>
            <w:shd w:val="clear" w:color="auto" w:fill="DBDBDB" w:themeFill="accent3" w:themeFillTint="66"/>
          </w:tcPr>
          <w:p w14:paraId="72BFCB2D" w14:textId="77777777" w:rsidR="0057213E" w:rsidRPr="007B3F28" w:rsidRDefault="0057213E" w:rsidP="003B475F">
            <w:pPr>
              <w:spacing w:after="160" w:line="360" w:lineRule="auto"/>
              <w:jc w:val="both"/>
              <w:rPr>
                <w:rFonts w:ascii="Arial" w:hAnsi="Arial" w:cs="Arial"/>
                <w:b/>
                <w:bCs/>
                <w:sz w:val="28"/>
                <w:szCs w:val="28"/>
              </w:rPr>
            </w:pPr>
            <w:r w:rsidRPr="009700AE">
              <w:rPr>
                <w:rFonts w:ascii="Arial" w:hAnsi="Arial" w:cs="Arial"/>
                <w:b/>
                <w:bCs/>
                <w:sz w:val="28"/>
                <w:szCs w:val="28"/>
              </w:rPr>
              <w:t>Example.</w:t>
            </w:r>
          </w:p>
          <w:p w14:paraId="42E28305" w14:textId="4F9B2783" w:rsidR="0057213E" w:rsidRPr="007B3F28" w:rsidRDefault="008849F6" w:rsidP="003B475F">
            <w:pPr>
              <w:spacing w:after="160" w:line="360" w:lineRule="auto"/>
              <w:jc w:val="both"/>
              <w:rPr>
                <w:rFonts w:ascii="Arial" w:hAnsi="Arial" w:cs="Arial"/>
                <w:sz w:val="28"/>
                <w:szCs w:val="28"/>
              </w:rPr>
            </w:pPr>
            <w:r w:rsidRPr="7AD5C25C">
              <w:rPr>
                <w:rFonts w:ascii="Arial" w:hAnsi="Arial" w:cs="Arial"/>
                <w:sz w:val="28"/>
                <w:szCs w:val="28"/>
              </w:rPr>
              <w:t xml:space="preserve">A citizen of the Republic of Kazakhstan financed the international terrorist organization </w:t>
            </w:r>
            <w:r w:rsidR="009C0BAD">
              <w:rPr>
                <w:rFonts w:ascii="Arial" w:hAnsi="Arial" w:cs="Arial"/>
                <w:sz w:val="28"/>
                <w:szCs w:val="28"/>
              </w:rPr>
              <w:t xml:space="preserve">ISIS </w:t>
            </w:r>
            <w:r w:rsidRPr="7AD5C25C">
              <w:rPr>
                <w:rFonts w:ascii="Arial" w:hAnsi="Arial" w:cs="Arial"/>
                <w:sz w:val="28"/>
                <w:szCs w:val="28"/>
              </w:rPr>
              <w:t xml:space="preserve">operating in Syria by transferring </w:t>
            </w:r>
            <w:r w:rsidR="00031C71">
              <w:rPr>
                <w:rFonts w:ascii="Arial" w:hAnsi="Arial" w:cs="Arial"/>
                <w:sz w:val="28"/>
                <w:szCs w:val="28"/>
              </w:rPr>
              <w:t>B</w:t>
            </w:r>
            <w:r w:rsidRPr="7AD5C25C">
              <w:rPr>
                <w:rFonts w:ascii="Arial" w:hAnsi="Arial" w:cs="Arial"/>
                <w:sz w:val="28"/>
                <w:szCs w:val="28"/>
              </w:rPr>
              <w:t xml:space="preserve">itcoin to the crypto wallet of a citizen of Tajikistan, a member of </w:t>
            </w:r>
            <w:r w:rsidR="009C0BAD">
              <w:rPr>
                <w:rFonts w:ascii="Arial" w:hAnsi="Arial" w:cs="Arial"/>
                <w:sz w:val="28"/>
                <w:szCs w:val="28"/>
              </w:rPr>
              <w:t>the</w:t>
            </w:r>
            <w:r w:rsidRPr="7AD5C25C">
              <w:rPr>
                <w:rFonts w:ascii="Arial" w:hAnsi="Arial" w:cs="Arial"/>
                <w:sz w:val="28"/>
                <w:szCs w:val="28"/>
              </w:rPr>
              <w:t xml:space="preserve"> terrorist organization. </w:t>
            </w:r>
          </w:p>
          <w:p w14:paraId="06C93275" w14:textId="38057722" w:rsidR="0057213E" w:rsidRPr="007B3F28" w:rsidRDefault="008849F6" w:rsidP="003B475F">
            <w:pPr>
              <w:spacing w:after="160" w:line="360" w:lineRule="auto"/>
              <w:jc w:val="both"/>
              <w:rPr>
                <w:rFonts w:ascii="Arial" w:hAnsi="Arial" w:cs="Arial"/>
                <w:sz w:val="28"/>
                <w:szCs w:val="28"/>
              </w:rPr>
            </w:pPr>
            <w:r w:rsidRPr="7AD5C25C">
              <w:rPr>
                <w:rFonts w:ascii="Arial" w:hAnsi="Arial" w:cs="Arial"/>
                <w:sz w:val="28"/>
                <w:szCs w:val="28"/>
              </w:rPr>
              <w:t xml:space="preserve">The financing was made with the assistance of another citizen of the Republic of Kazakhstan, who was engaged in illegal business activities expressed in the conversion and sale of </w:t>
            </w:r>
            <w:r w:rsidR="00A13B9E">
              <w:rPr>
                <w:rFonts w:ascii="Arial" w:hAnsi="Arial" w:cs="Arial"/>
                <w:sz w:val="28"/>
                <w:szCs w:val="28"/>
              </w:rPr>
              <w:t>B</w:t>
            </w:r>
            <w:r w:rsidRPr="7AD5C25C">
              <w:rPr>
                <w:rFonts w:ascii="Arial" w:hAnsi="Arial" w:cs="Arial"/>
                <w:sz w:val="28"/>
                <w:szCs w:val="28"/>
              </w:rPr>
              <w:t xml:space="preserve">itcoin on a </w:t>
            </w:r>
            <w:proofErr w:type="spellStart"/>
            <w:r w:rsidRPr="7AD5C25C">
              <w:rPr>
                <w:rFonts w:ascii="Arial" w:hAnsi="Arial" w:cs="Arial"/>
                <w:sz w:val="28"/>
                <w:szCs w:val="28"/>
              </w:rPr>
              <w:t>cryptoexchange</w:t>
            </w:r>
            <w:proofErr w:type="spellEnd"/>
            <w:r w:rsidRPr="7AD5C25C">
              <w:rPr>
                <w:rFonts w:ascii="Arial" w:hAnsi="Arial" w:cs="Arial"/>
                <w:sz w:val="28"/>
                <w:szCs w:val="28"/>
              </w:rPr>
              <w:t xml:space="preserve">. </w:t>
            </w:r>
          </w:p>
          <w:p w14:paraId="6FA16B99" w14:textId="7DB816E6" w:rsidR="0057213E" w:rsidRPr="007B3F28" w:rsidRDefault="008849F6" w:rsidP="003B475F">
            <w:pPr>
              <w:spacing w:after="160" w:line="360" w:lineRule="auto"/>
              <w:jc w:val="both"/>
              <w:rPr>
                <w:rFonts w:ascii="Arial" w:hAnsi="Arial" w:cs="Arial"/>
                <w:sz w:val="28"/>
                <w:szCs w:val="28"/>
              </w:rPr>
            </w:pPr>
            <w:r w:rsidRPr="7AD5C25C">
              <w:rPr>
                <w:rFonts w:ascii="Arial" w:hAnsi="Arial" w:cs="Arial"/>
                <w:sz w:val="28"/>
                <w:szCs w:val="28"/>
              </w:rPr>
              <w:t xml:space="preserve">Law enforcement agencies revealed the facts of illegal activities and subsequently a pre-trial investigation was launched against both persons. </w:t>
            </w:r>
          </w:p>
          <w:p w14:paraId="1EA9B629" w14:textId="77777777" w:rsidR="0057213E" w:rsidRPr="007B3F28" w:rsidRDefault="0057213E" w:rsidP="003B475F">
            <w:pPr>
              <w:spacing w:after="160" w:line="360" w:lineRule="auto"/>
              <w:jc w:val="both"/>
              <w:rPr>
                <w:rFonts w:ascii="Arial" w:hAnsi="Arial" w:cs="Arial"/>
                <w:sz w:val="28"/>
                <w:szCs w:val="28"/>
              </w:rPr>
            </w:pPr>
          </w:p>
        </w:tc>
      </w:tr>
    </w:tbl>
    <w:p w14:paraId="742B70D2" w14:textId="77777777" w:rsidR="00C65C18" w:rsidRDefault="00C65C18" w:rsidP="003B475F">
      <w:pPr>
        <w:spacing w:line="360" w:lineRule="auto"/>
        <w:jc w:val="both"/>
        <w:rPr>
          <w:rFonts w:ascii="Arial" w:hAnsi="Arial" w:cs="Arial"/>
          <w:sz w:val="28"/>
          <w:szCs w:val="28"/>
        </w:rPr>
      </w:pPr>
    </w:p>
    <w:p w14:paraId="5B48AEF0" w14:textId="77777777" w:rsidR="00714CDE" w:rsidRDefault="00714CDE" w:rsidP="003B475F">
      <w:pPr>
        <w:spacing w:line="360" w:lineRule="auto"/>
        <w:jc w:val="both"/>
        <w:rPr>
          <w:rFonts w:ascii="Arial" w:hAnsi="Arial" w:cs="Arial"/>
          <w:sz w:val="28"/>
          <w:szCs w:val="28"/>
        </w:rPr>
      </w:pPr>
    </w:p>
    <w:p w14:paraId="6167A870" w14:textId="77777777" w:rsidR="00714CDE" w:rsidRDefault="00714CDE" w:rsidP="003B475F">
      <w:pPr>
        <w:spacing w:line="360" w:lineRule="auto"/>
        <w:jc w:val="both"/>
        <w:rPr>
          <w:rFonts w:ascii="Arial" w:hAnsi="Arial" w:cs="Arial"/>
          <w:sz w:val="28"/>
          <w:szCs w:val="28"/>
        </w:rPr>
      </w:pPr>
    </w:p>
    <w:p w14:paraId="7734E8DA" w14:textId="77777777" w:rsidR="00714CDE" w:rsidRDefault="00714CDE" w:rsidP="003B475F">
      <w:pPr>
        <w:spacing w:line="360" w:lineRule="auto"/>
        <w:jc w:val="both"/>
        <w:rPr>
          <w:rFonts w:ascii="Arial" w:hAnsi="Arial" w:cs="Arial"/>
          <w:sz w:val="28"/>
          <w:szCs w:val="28"/>
        </w:rPr>
      </w:pPr>
    </w:p>
    <w:p w14:paraId="39D50BAD" w14:textId="77777777" w:rsidR="00714CDE" w:rsidRDefault="00714CDE" w:rsidP="003B475F">
      <w:pPr>
        <w:spacing w:line="360" w:lineRule="auto"/>
        <w:jc w:val="both"/>
        <w:rPr>
          <w:rFonts w:ascii="Arial" w:hAnsi="Arial" w:cs="Arial"/>
          <w:sz w:val="28"/>
          <w:szCs w:val="28"/>
        </w:rPr>
      </w:pPr>
    </w:p>
    <w:p w14:paraId="4591B380" w14:textId="77777777" w:rsidR="00714CDE" w:rsidRDefault="00714CDE" w:rsidP="003B475F">
      <w:pPr>
        <w:spacing w:line="360" w:lineRule="auto"/>
        <w:jc w:val="both"/>
        <w:rPr>
          <w:rFonts w:ascii="Arial" w:hAnsi="Arial" w:cs="Arial"/>
          <w:sz w:val="28"/>
          <w:szCs w:val="28"/>
        </w:rPr>
      </w:pPr>
    </w:p>
    <w:p w14:paraId="127B1D21" w14:textId="77777777" w:rsidR="00714CDE" w:rsidRDefault="00714CDE" w:rsidP="003B475F">
      <w:pPr>
        <w:spacing w:line="360" w:lineRule="auto"/>
        <w:jc w:val="both"/>
        <w:rPr>
          <w:rFonts w:ascii="Arial" w:hAnsi="Arial" w:cs="Arial"/>
          <w:sz w:val="28"/>
          <w:szCs w:val="28"/>
        </w:rPr>
      </w:pPr>
    </w:p>
    <w:p w14:paraId="55FBD9CD" w14:textId="77777777" w:rsidR="00714CDE" w:rsidRDefault="00714CDE" w:rsidP="003B475F">
      <w:pPr>
        <w:spacing w:line="360" w:lineRule="auto"/>
        <w:jc w:val="both"/>
        <w:rPr>
          <w:rFonts w:ascii="Arial" w:hAnsi="Arial" w:cs="Arial"/>
          <w:sz w:val="28"/>
          <w:szCs w:val="28"/>
        </w:rPr>
      </w:pPr>
    </w:p>
    <w:p w14:paraId="62DCE7F4" w14:textId="77777777" w:rsidR="00714CDE" w:rsidRDefault="00714CDE" w:rsidP="003B475F">
      <w:pPr>
        <w:spacing w:line="360" w:lineRule="auto"/>
        <w:jc w:val="both"/>
        <w:rPr>
          <w:rFonts w:ascii="Arial" w:hAnsi="Arial" w:cs="Arial"/>
          <w:sz w:val="28"/>
          <w:szCs w:val="28"/>
        </w:rPr>
      </w:pPr>
    </w:p>
    <w:p w14:paraId="7917DA68" w14:textId="77777777" w:rsidR="00714CDE" w:rsidRDefault="00714CDE" w:rsidP="003B475F">
      <w:pPr>
        <w:spacing w:line="360" w:lineRule="auto"/>
        <w:jc w:val="both"/>
        <w:rPr>
          <w:rFonts w:ascii="Arial" w:hAnsi="Arial" w:cs="Arial"/>
          <w:sz w:val="28"/>
          <w:szCs w:val="28"/>
        </w:rPr>
      </w:pPr>
    </w:p>
    <w:p w14:paraId="3A665816" w14:textId="77777777" w:rsidR="00714CDE" w:rsidRDefault="00714CDE" w:rsidP="003B475F">
      <w:pPr>
        <w:spacing w:line="360" w:lineRule="auto"/>
        <w:jc w:val="both"/>
        <w:rPr>
          <w:rFonts w:ascii="Arial" w:hAnsi="Arial" w:cs="Arial"/>
          <w:sz w:val="28"/>
          <w:szCs w:val="28"/>
        </w:rPr>
      </w:pPr>
    </w:p>
    <w:p w14:paraId="787CEAC0" w14:textId="77777777" w:rsidR="00714CDE" w:rsidRPr="007B3F28" w:rsidRDefault="00714CDE" w:rsidP="003B475F">
      <w:pPr>
        <w:spacing w:line="360" w:lineRule="auto"/>
        <w:jc w:val="both"/>
        <w:rPr>
          <w:rFonts w:ascii="Arial" w:hAnsi="Arial" w:cs="Arial"/>
          <w:sz w:val="28"/>
          <w:szCs w:val="28"/>
        </w:rPr>
      </w:pPr>
    </w:p>
    <w:p w14:paraId="2EF8BA65" w14:textId="105698C0" w:rsidR="00DF4BA4" w:rsidRPr="00513BD4" w:rsidRDefault="00DF4BA4" w:rsidP="003B475F">
      <w:pPr>
        <w:pStyle w:val="ListParagraph"/>
        <w:numPr>
          <w:ilvl w:val="0"/>
          <w:numId w:val="4"/>
        </w:numPr>
        <w:spacing w:line="360" w:lineRule="auto"/>
        <w:ind w:left="0" w:firstLine="0"/>
        <w:contextualSpacing w:val="0"/>
        <w:jc w:val="both"/>
        <w:outlineLvl w:val="0"/>
        <w:rPr>
          <w:rFonts w:ascii="Arial" w:hAnsi="Arial" w:cs="Arial"/>
          <w:b/>
          <w:bCs/>
          <w:sz w:val="28"/>
          <w:szCs w:val="28"/>
          <w:lang w:val="ru-RU"/>
        </w:rPr>
      </w:pPr>
      <w:bookmarkStart w:id="13" w:name="_Toc165366345"/>
      <w:bookmarkStart w:id="14" w:name="_Toc165366346"/>
      <w:bookmarkStart w:id="15" w:name="_Toc170314425"/>
      <w:bookmarkEnd w:id="13"/>
      <w:bookmarkEnd w:id="14"/>
      <w:r w:rsidRPr="00513BD4">
        <w:rPr>
          <w:rFonts w:ascii="Arial" w:hAnsi="Arial" w:cs="Arial"/>
          <w:b/>
          <w:bCs/>
          <w:sz w:val="28"/>
          <w:szCs w:val="28"/>
        </w:rPr>
        <w:lastRenderedPageBreak/>
        <w:t>CHARACTERISTICS OF VULNERABILITIES</w:t>
      </w:r>
      <w:bookmarkEnd w:id="15"/>
    </w:p>
    <w:p w14:paraId="369571D1" w14:textId="200DEA08" w:rsidR="008B56D0" w:rsidRPr="007B3F28" w:rsidRDefault="52B14A45" w:rsidP="003B475F">
      <w:pPr>
        <w:spacing w:line="360" w:lineRule="auto"/>
        <w:jc w:val="both"/>
        <w:rPr>
          <w:rFonts w:ascii="Arial" w:hAnsi="Arial" w:cs="Arial"/>
          <w:sz w:val="28"/>
          <w:szCs w:val="28"/>
        </w:rPr>
      </w:pPr>
      <w:r w:rsidRPr="68A3C7B1">
        <w:rPr>
          <w:rFonts w:ascii="Arial" w:hAnsi="Arial" w:cs="Arial"/>
          <w:sz w:val="28"/>
          <w:szCs w:val="28"/>
        </w:rPr>
        <w:t>The existence of the above-mentioned threats in</w:t>
      </w:r>
      <w:r w:rsidR="103A3FC4" w:rsidRPr="68A3C7B1">
        <w:rPr>
          <w:rFonts w:ascii="Arial" w:hAnsi="Arial" w:cs="Arial"/>
          <w:sz w:val="28"/>
          <w:szCs w:val="28"/>
        </w:rPr>
        <w:t xml:space="preserve"> the</w:t>
      </w:r>
      <w:r w:rsidRPr="68A3C7B1">
        <w:rPr>
          <w:rFonts w:ascii="Arial" w:hAnsi="Arial" w:cs="Arial"/>
          <w:sz w:val="28"/>
          <w:szCs w:val="28"/>
        </w:rPr>
        <w:t xml:space="preserve"> </w:t>
      </w:r>
      <w:r w:rsidR="1F93C152" w:rsidRPr="68A3C7B1">
        <w:rPr>
          <w:rFonts w:ascii="Arial" w:hAnsi="Arial" w:cs="Arial"/>
          <w:sz w:val="28"/>
          <w:szCs w:val="28"/>
        </w:rPr>
        <w:t>DA</w:t>
      </w:r>
      <w:r w:rsidRPr="68A3C7B1">
        <w:rPr>
          <w:rFonts w:ascii="Arial" w:hAnsi="Arial" w:cs="Arial"/>
          <w:sz w:val="28"/>
          <w:szCs w:val="28"/>
        </w:rPr>
        <w:t xml:space="preserve"> </w:t>
      </w:r>
      <w:r w:rsidR="60A163B3" w:rsidRPr="68A3C7B1">
        <w:rPr>
          <w:rFonts w:ascii="Arial" w:hAnsi="Arial" w:cs="Arial"/>
          <w:sz w:val="28"/>
          <w:szCs w:val="28"/>
        </w:rPr>
        <w:t>sector</w:t>
      </w:r>
      <w:r w:rsidRPr="68A3C7B1">
        <w:rPr>
          <w:rFonts w:ascii="Arial" w:hAnsi="Arial" w:cs="Arial"/>
          <w:sz w:val="28"/>
          <w:szCs w:val="28"/>
        </w:rPr>
        <w:t xml:space="preserve"> became possible due to the presence of </w:t>
      </w:r>
      <w:proofErr w:type="gramStart"/>
      <w:r w:rsidRPr="68A3C7B1">
        <w:rPr>
          <w:rFonts w:ascii="Arial" w:hAnsi="Arial" w:cs="Arial"/>
          <w:sz w:val="28"/>
          <w:szCs w:val="28"/>
        </w:rPr>
        <w:t>a number of</w:t>
      </w:r>
      <w:proofErr w:type="gramEnd"/>
      <w:r w:rsidRPr="68A3C7B1">
        <w:rPr>
          <w:rFonts w:ascii="Arial" w:hAnsi="Arial" w:cs="Arial"/>
          <w:sz w:val="28"/>
          <w:szCs w:val="28"/>
        </w:rPr>
        <w:t xml:space="preserve"> vulnerabilities specific to </w:t>
      </w:r>
      <w:r w:rsidR="1F93C152" w:rsidRPr="68A3C7B1">
        <w:rPr>
          <w:rFonts w:ascii="Arial" w:hAnsi="Arial" w:cs="Arial"/>
          <w:sz w:val="28"/>
          <w:szCs w:val="28"/>
        </w:rPr>
        <w:t>DAs</w:t>
      </w:r>
      <w:r w:rsidRPr="68A3C7B1">
        <w:rPr>
          <w:rFonts w:ascii="Arial" w:hAnsi="Arial" w:cs="Arial"/>
          <w:sz w:val="28"/>
          <w:szCs w:val="28"/>
        </w:rPr>
        <w:t xml:space="preserve"> and special systems associated with </w:t>
      </w:r>
      <w:r w:rsidR="4927188F" w:rsidRPr="68A3C7B1">
        <w:rPr>
          <w:rFonts w:ascii="Arial" w:hAnsi="Arial" w:cs="Arial"/>
          <w:sz w:val="28"/>
          <w:szCs w:val="28"/>
        </w:rPr>
        <w:t>DAs</w:t>
      </w:r>
      <w:r w:rsidRPr="68A3C7B1">
        <w:rPr>
          <w:rFonts w:ascii="Arial" w:hAnsi="Arial" w:cs="Arial"/>
          <w:sz w:val="28"/>
          <w:szCs w:val="28"/>
        </w:rPr>
        <w:t xml:space="preserve">.  </w:t>
      </w:r>
    </w:p>
    <w:p w14:paraId="2E042A9C" w14:textId="3A06128B" w:rsidR="00513BD4" w:rsidRPr="007B3F28" w:rsidRDefault="002F0802" w:rsidP="003B475F">
      <w:pPr>
        <w:spacing w:line="360" w:lineRule="auto"/>
        <w:jc w:val="both"/>
        <w:rPr>
          <w:rFonts w:ascii="Arial" w:hAnsi="Arial" w:cs="Arial"/>
          <w:sz w:val="28"/>
          <w:szCs w:val="28"/>
        </w:rPr>
      </w:pPr>
      <w:r w:rsidRPr="68A3C7B1">
        <w:rPr>
          <w:rFonts w:ascii="Arial" w:hAnsi="Arial" w:cs="Arial"/>
          <w:sz w:val="28"/>
          <w:szCs w:val="28"/>
        </w:rPr>
        <w:t xml:space="preserve">For the purposes of this report, vulnerabilities refer to properties inherent in </w:t>
      </w:r>
      <w:r w:rsidR="0312B340" w:rsidRPr="68A3C7B1">
        <w:rPr>
          <w:rFonts w:ascii="Arial" w:hAnsi="Arial" w:cs="Arial"/>
          <w:sz w:val="28"/>
          <w:szCs w:val="28"/>
        </w:rPr>
        <w:t xml:space="preserve">the </w:t>
      </w:r>
      <w:r w:rsidR="1F93C152" w:rsidRPr="68A3C7B1">
        <w:rPr>
          <w:rFonts w:ascii="Arial" w:hAnsi="Arial" w:cs="Arial"/>
          <w:sz w:val="28"/>
          <w:szCs w:val="28"/>
        </w:rPr>
        <w:t>DA</w:t>
      </w:r>
      <w:r w:rsidRPr="68A3C7B1">
        <w:rPr>
          <w:rFonts w:ascii="Arial" w:hAnsi="Arial" w:cs="Arial"/>
          <w:sz w:val="28"/>
          <w:szCs w:val="28"/>
        </w:rPr>
        <w:t xml:space="preserve"> sector that make the sector available for illegal use for ML/TF purposes. </w:t>
      </w:r>
    </w:p>
    <w:p w14:paraId="42D9B4B6" w14:textId="2F466365" w:rsidR="009D6098" w:rsidRPr="007B3F28" w:rsidRDefault="498BE9BE" w:rsidP="003B475F">
      <w:pPr>
        <w:spacing w:line="360" w:lineRule="auto"/>
        <w:jc w:val="both"/>
        <w:rPr>
          <w:rFonts w:ascii="Arial" w:hAnsi="Arial" w:cs="Arial"/>
          <w:sz w:val="28"/>
          <w:szCs w:val="28"/>
        </w:rPr>
      </w:pPr>
      <w:r w:rsidRPr="68A3C7B1">
        <w:rPr>
          <w:rFonts w:ascii="Arial" w:hAnsi="Arial" w:cs="Arial"/>
          <w:sz w:val="28"/>
          <w:szCs w:val="28"/>
        </w:rPr>
        <w:t xml:space="preserve">Among the main vulnerabilities </w:t>
      </w:r>
      <w:r w:rsidR="03DBE3BB" w:rsidRPr="68A3C7B1">
        <w:rPr>
          <w:rFonts w:ascii="Arial" w:hAnsi="Arial" w:cs="Arial"/>
          <w:sz w:val="28"/>
          <w:szCs w:val="28"/>
        </w:rPr>
        <w:t>are</w:t>
      </w:r>
      <w:r w:rsidRPr="68A3C7B1">
        <w:rPr>
          <w:rFonts w:ascii="Arial" w:hAnsi="Arial" w:cs="Arial"/>
          <w:sz w:val="28"/>
          <w:szCs w:val="28"/>
        </w:rPr>
        <w:t xml:space="preserve"> anonymity, ease of use, irreversibility of transactions and vulnerabilities associated with the presence of weaknesses in the network and systems of </w:t>
      </w:r>
      <w:r w:rsidR="1F93C152" w:rsidRPr="68A3C7B1">
        <w:rPr>
          <w:rFonts w:ascii="Arial" w:hAnsi="Arial" w:cs="Arial"/>
          <w:sz w:val="28"/>
          <w:szCs w:val="28"/>
        </w:rPr>
        <w:t>DAs</w:t>
      </w:r>
      <w:r w:rsidRPr="68A3C7B1">
        <w:rPr>
          <w:rFonts w:ascii="Arial" w:hAnsi="Arial" w:cs="Arial"/>
          <w:sz w:val="28"/>
          <w:szCs w:val="28"/>
        </w:rPr>
        <w:t xml:space="preserve"> and </w:t>
      </w:r>
      <w:r w:rsidR="1F93C152" w:rsidRPr="68A3C7B1">
        <w:rPr>
          <w:rFonts w:ascii="Arial" w:hAnsi="Arial" w:cs="Arial"/>
          <w:sz w:val="28"/>
          <w:szCs w:val="28"/>
        </w:rPr>
        <w:t>DASPs</w:t>
      </w:r>
      <w:r w:rsidRPr="68A3C7B1">
        <w:rPr>
          <w:rFonts w:ascii="Arial" w:hAnsi="Arial" w:cs="Arial"/>
          <w:sz w:val="28"/>
          <w:szCs w:val="28"/>
        </w:rPr>
        <w:t xml:space="preserve">. </w:t>
      </w:r>
    </w:p>
    <w:p w14:paraId="2E64F48E" w14:textId="3F1478FB" w:rsidR="009D6098" w:rsidRPr="005078B5" w:rsidRDefault="009D6098" w:rsidP="003B475F">
      <w:pPr>
        <w:pStyle w:val="ListParagraph"/>
        <w:numPr>
          <w:ilvl w:val="0"/>
          <w:numId w:val="9"/>
        </w:numPr>
        <w:spacing w:line="360" w:lineRule="auto"/>
        <w:ind w:left="0" w:firstLine="0"/>
        <w:jc w:val="both"/>
        <w:outlineLvl w:val="1"/>
        <w:rPr>
          <w:rFonts w:ascii="Arial" w:hAnsi="Arial" w:cs="Arial"/>
          <w:b/>
          <w:bCs/>
          <w:sz w:val="28"/>
          <w:szCs w:val="28"/>
        </w:rPr>
      </w:pPr>
      <w:bookmarkStart w:id="16" w:name="_Toc170314426"/>
      <w:r w:rsidRPr="005078B5">
        <w:rPr>
          <w:rFonts w:ascii="Arial" w:hAnsi="Arial" w:cs="Arial"/>
          <w:b/>
          <w:bCs/>
          <w:sz w:val="28"/>
          <w:szCs w:val="28"/>
        </w:rPr>
        <w:t>Anonymity</w:t>
      </w:r>
      <w:bookmarkEnd w:id="16"/>
    </w:p>
    <w:p w14:paraId="5573CC31" w14:textId="42C12C83" w:rsidR="00C841AB" w:rsidRPr="007B3F28" w:rsidRDefault="5EF16680" w:rsidP="003B475F">
      <w:pPr>
        <w:spacing w:line="360" w:lineRule="auto"/>
        <w:jc w:val="both"/>
        <w:rPr>
          <w:rFonts w:ascii="Arial" w:hAnsi="Arial" w:cs="Arial"/>
          <w:sz w:val="28"/>
          <w:szCs w:val="28"/>
        </w:rPr>
      </w:pPr>
      <w:r w:rsidRPr="68A3C7B1">
        <w:rPr>
          <w:rFonts w:ascii="Arial" w:hAnsi="Arial" w:cs="Arial"/>
          <w:sz w:val="28"/>
          <w:szCs w:val="28"/>
        </w:rPr>
        <w:t>Anonymity refers to a vulnerability related to the anonym</w:t>
      </w:r>
      <w:r w:rsidR="6DE2534A" w:rsidRPr="68A3C7B1">
        <w:rPr>
          <w:rFonts w:ascii="Arial" w:hAnsi="Arial" w:cs="Arial"/>
          <w:sz w:val="28"/>
          <w:szCs w:val="28"/>
        </w:rPr>
        <w:t>ous</w:t>
      </w:r>
      <w:r w:rsidR="708311F6" w:rsidRPr="68A3C7B1">
        <w:rPr>
          <w:rFonts w:ascii="Arial" w:hAnsi="Arial" w:cs="Arial"/>
          <w:sz w:val="28"/>
          <w:szCs w:val="28"/>
        </w:rPr>
        <w:t xml:space="preserve"> nature</w:t>
      </w:r>
      <w:r w:rsidRPr="68A3C7B1">
        <w:rPr>
          <w:rFonts w:ascii="Arial" w:hAnsi="Arial" w:cs="Arial"/>
          <w:sz w:val="28"/>
          <w:szCs w:val="28"/>
        </w:rPr>
        <w:t xml:space="preserve"> of transactions, which attracts the attention of criminals </w:t>
      </w:r>
      <w:r w:rsidR="2C96C2F6" w:rsidRPr="68A3C7B1">
        <w:rPr>
          <w:rFonts w:ascii="Arial" w:hAnsi="Arial" w:cs="Arial"/>
          <w:sz w:val="28"/>
          <w:szCs w:val="28"/>
        </w:rPr>
        <w:t xml:space="preserve">aiming </w:t>
      </w:r>
      <w:r w:rsidRPr="68A3C7B1">
        <w:rPr>
          <w:rFonts w:ascii="Arial" w:hAnsi="Arial" w:cs="Arial"/>
          <w:sz w:val="28"/>
          <w:szCs w:val="28"/>
        </w:rPr>
        <w:t xml:space="preserve">to achieve their ML/TF goals.  </w:t>
      </w:r>
    </w:p>
    <w:p w14:paraId="566D6996" w14:textId="4D2967C4" w:rsidR="00C841AB" w:rsidRPr="007B3F28" w:rsidRDefault="00C841AB" w:rsidP="003B475F">
      <w:pPr>
        <w:spacing w:line="360" w:lineRule="auto"/>
        <w:jc w:val="both"/>
        <w:rPr>
          <w:rFonts w:ascii="Arial" w:hAnsi="Arial" w:cs="Arial"/>
          <w:sz w:val="28"/>
          <w:szCs w:val="28"/>
        </w:rPr>
      </w:pPr>
      <w:r w:rsidRPr="7AD5C25C">
        <w:rPr>
          <w:rFonts w:ascii="Arial" w:hAnsi="Arial" w:cs="Arial"/>
          <w:sz w:val="28"/>
          <w:szCs w:val="28"/>
        </w:rPr>
        <w:t xml:space="preserve">This risk is relevant in cases where identity cannot be established if the user has not passed the KYC procedure or has passed it using forged documents. </w:t>
      </w:r>
    </w:p>
    <w:p w14:paraId="27CF4416" w14:textId="2016E3C3" w:rsidR="00C841AB" w:rsidRPr="007B3F28" w:rsidRDefault="5EF16680" w:rsidP="003B475F">
      <w:pPr>
        <w:spacing w:line="360" w:lineRule="auto"/>
        <w:jc w:val="both"/>
        <w:rPr>
          <w:rFonts w:ascii="Arial" w:hAnsi="Arial" w:cs="Arial"/>
          <w:sz w:val="28"/>
          <w:szCs w:val="28"/>
        </w:rPr>
      </w:pPr>
      <w:r w:rsidRPr="68A3C7B1">
        <w:rPr>
          <w:rFonts w:ascii="Arial" w:hAnsi="Arial" w:cs="Arial"/>
          <w:sz w:val="28"/>
          <w:szCs w:val="28"/>
        </w:rPr>
        <w:t xml:space="preserve">Different </w:t>
      </w:r>
      <w:r w:rsidR="1F93C152" w:rsidRPr="68A3C7B1">
        <w:rPr>
          <w:rFonts w:ascii="Arial" w:hAnsi="Arial" w:cs="Arial"/>
          <w:sz w:val="28"/>
          <w:szCs w:val="28"/>
        </w:rPr>
        <w:t>DAs</w:t>
      </w:r>
      <w:r w:rsidRPr="68A3C7B1">
        <w:rPr>
          <w:rFonts w:ascii="Arial" w:hAnsi="Arial" w:cs="Arial"/>
          <w:sz w:val="28"/>
          <w:szCs w:val="28"/>
        </w:rPr>
        <w:t xml:space="preserve"> have </w:t>
      </w:r>
      <w:r w:rsidR="00CE90A2" w:rsidRPr="68A3C7B1">
        <w:rPr>
          <w:rFonts w:ascii="Arial" w:hAnsi="Arial" w:cs="Arial"/>
          <w:sz w:val="28"/>
          <w:szCs w:val="28"/>
        </w:rPr>
        <w:t>varying</w:t>
      </w:r>
      <w:r w:rsidRPr="68A3C7B1">
        <w:rPr>
          <w:rFonts w:ascii="Arial" w:hAnsi="Arial" w:cs="Arial"/>
          <w:sz w:val="28"/>
          <w:szCs w:val="28"/>
        </w:rPr>
        <w:t xml:space="preserve"> levels of anonymity, and it is most likely that criminals will prefer </w:t>
      </w:r>
      <w:r w:rsidR="7EFD9CDC" w:rsidRPr="68A3C7B1">
        <w:rPr>
          <w:rFonts w:ascii="Arial" w:hAnsi="Arial" w:cs="Arial"/>
          <w:sz w:val="28"/>
          <w:szCs w:val="28"/>
        </w:rPr>
        <w:t xml:space="preserve">the </w:t>
      </w:r>
      <w:r w:rsidR="1F93C152" w:rsidRPr="68A3C7B1">
        <w:rPr>
          <w:rFonts w:ascii="Arial" w:hAnsi="Arial" w:cs="Arial"/>
          <w:sz w:val="28"/>
          <w:szCs w:val="28"/>
        </w:rPr>
        <w:t>DA</w:t>
      </w:r>
      <w:r w:rsidRPr="68A3C7B1">
        <w:rPr>
          <w:rFonts w:ascii="Arial" w:hAnsi="Arial" w:cs="Arial"/>
          <w:sz w:val="28"/>
          <w:szCs w:val="28"/>
        </w:rPr>
        <w:t xml:space="preserve"> with a higher level of anonymity to achieve ML/TF goals.</w:t>
      </w:r>
    </w:p>
    <w:p w14:paraId="07AD7DD5" w14:textId="2C64373A" w:rsidR="009D6098" w:rsidRPr="005078B5" w:rsidRDefault="009D6098" w:rsidP="003B475F">
      <w:pPr>
        <w:pStyle w:val="ListParagraph"/>
        <w:numPr>
          <w:ilvl w:val="0"/>
          <w:numId w:val="9"/>
        </w:numPr>
        <w:spacing w:line="360" w:lineRule="auto"/>
        <w:ind w:left="0" w:firstLine="0"/>
        <w:jc w:val="both"/>
        <w:outlineLvl w:val="1"/>
        <w:rPr>
          <w:rFonts w:ascii="Arial" w:hAnsi="Arial" w:cs="Arial"/>
          <w:b/>
          <w:bCs/>
          <w:sz w:val="28"/>
          <w:szCs w:val="28"/>
        </w:rPr>
      </w:pPr>
      <w:bookmarkStart w:id="17" w:name="_Toc170314427"/>
      <w:r w:rsidRPr="005078B5">
        <w:rPr>
          <w:rFonts w:ascii="Arial" w:hAnsi="Arial" w:cs="Arial"/>
          <w:b/>
          <w:bCs/>
          <w:sz w:val="28"/>
          <w:szCs w:val="28"/>
        </w:rPr>
        <w:t>Usability</w:t>
      </w:r>
      <w:bookmarkEnd w:id="17"/>
    </w:p>
    <w:p w14:paraId="5E279D6F" w14:textId="3BFB50B9" w:rsidR="00CA67B6" w:rsidRPr="007B3F28" w:rsidRDefault="55BB94C7" w:rsidP="003B475F">
      <w:pPr>
        <w:spacing w:line="360" w:lineRule="auto"/>
        <w:jc w:val="both"/>
        <w:rPr>
          <w:rFonts w:ascii="Arial" w:hAnsi="Arial" w:cs="Arial"/>
          <w:sz w:val="28"/>
          <w:szCs w:val="28"/>
        </w:rPr>
      </w:pPr>
      <w:r w:rsidRPr="68A3C7B1">
        <w:rPr>
          <w:rFonts w:ascii="Arial" w:hAnsi="Arial" w:cs="Arial"/>
          <w:sz w:val="28"/>
          <w:szCs w:val="28"/>
        </w:rPr>
        <w:t xml:space="preserve">Usability reflects the transactional or exchange liquidity of </w:t>
      </w:r>
      <w:r w:rsidR="261CC846" w:rsidRPr="68A3C7B1">
        <w:rPr>
          <w:rFonts w:ascii="Arial" w:hAnsi="Arial" w:cs="Arial"/>
          <w:sz w:val="28"/>
          <w:szCs w:val="28"/>
        </w:rPr>
        <w:t xml:space="preserve">the </w:t>
      </w:r>
      <w:r w:rsidR="1F93C152" w:rsidRPr="68A3C7B1">
        <w:rPr>
          <w:rFonts w:ascii="Arial" w:hAnsi="Arial" w:cs="Arial"/>
          <w:sz w:val="28"/>
          <w:szCs w:val="28"/>
        </w:rPr>
        <w:t>DA</w:t>
      </w:r>
      <w:r w:rsidRPr="68A3C7B1">
        <w:rPr>
          <w:rFonts w:ascii="Arial" w:hAnsi="Arial" w:cs="Arial"/>
          <w:sz w:val="28"/>
          <w:szCs w:val="28"/>
        </w:rPr>
        <w:t xml:space="preserve">, its relative exchange rate stability, and the necessary technical knowledge to use it. </w:t>
      </w:r>
    </w:p>
    <w:p w14:paraId="6AE80C88" w14:textId="797994A8" w:rsidR="00C841AB" w:rsidRPr="007B3F28" w:rsidRDefault="55BB94C7" w:rsidP="003B475F">
      <w:pPr>
        <w:spacing w:line="360" w:lineRule="auto"/>
        <w:jc w:val="both"/>
        <w:rPr>
          <w:rFonts w:ascii="Arial" w:hAnsi="Arial" w:cs="Arial"/>
          <w:sz w:val="28"/>
          <w:szCs w:val="28"/>
        </w:rPr>
      </w:pPr>
      <w:proofErr w:type="gramStart"/>
      <w:r w:rsidRPr="68A3C7B1">
        <w:rPr>
          <w:rFonts w:ascii="Arial" w:hAnsi="Arial" w:cs="Arial"/>
          <w:sz w:val="28"/>
          <w:szCs w:val="28"/>
        </w:rPr>
        <w:t>A higher degree of</w:t>
      </w:r>
      <w:proofErr w:type="gramEnd"/>
      <w:r w:rsidRPr="68A3C7B1">
        <w:rPr>
          <w:rFonts w:ascii="Arial" w:hAnsi="Arial" w:cs="Arial"/>
          <w:sz w:val="28"/>
          <w:szCs w:val="28"/>
        </w:rPr>
        <w:t xml:space="preserve"> usability increases the susceptibility of </w:t>
      </w:r>
      <w:r w:rsidR="1F93C152" w:rsidRPr="68A3C7B1">
        <w:rPr>
          <w:rFonts w:ascii="Arial" w:hAnsi="Arial" w:cs="Arial"/>
          <w:sz w:val="28"/>
          <w:szCs w:val="28"/>
        </w:rPr>
        <w:t>DA</w:t>
      </w:r>
      <w:r w:rsidRPr="68A3C7B1">
        <w:rPr>
          <w:rFonts w:ascii="Arial" w:hAnsi="Arial" w:cs="Arial"/>
          <w:sz w:val="28"/>
          <w:szCs w:val="28"/>
        </w:rPr>
        <w:t xml:space="preserve"> to crimes related to ML/TF. On the contrary, the technological complexity of </w:t>
      </w:r>
      <w:r w:rsidR="1F93C152" w:rsidRPr="68A3C7B1">
        <w:rPr>
          <w:rFonts w:ascii="Arial" w:hAnsi="Arial" w:cs="Arial"/>
          <w:sz w:val="28"/>
          <w:szCs w:val="28"/>
        </w:rPr>
        <w:t>DA</w:t>
      </w:r>
      <w:r w:rsidR="0EB87343" w:rsidRPr="68A3C7B1">
        <w:rPr>
          <w:rFonts w:ascii="Arial" w:hAnsi="Arial" w:cs="Arial"/>
          <w:sz w:val="28"/>
          <w:szCs w:val="28"/>
        </w:rPr>
        <w:t>s</w:t>
      </w:r>
      <w:r w:rsidRPr="68A3C7B1">
        <w:rPr>
          <w:rFonts w:ascii="Arial" w:hAnsi="Arial" w:cs="Arial"/>
          <w:sz w:val="28"/>
          <w:szCs w:val="28"/>
        </w:rPr>
        <w:t xml:space="preserve"> is considered a significant limitation of the usability and, therefore, prohibits the wider use of </w:t>
      </w:r>
      <w:r w:rsidR="1F93C152" w:rsidRPr="68A3C7B1">
        <w:rPr>
          <w:rFonts w:ascii="Arial" w:hAnsi="Arial" w:cs="Arial"/>
          <w:sz w:val="28"/>
          <w:szCs w:val="28"/>
        </w:rPr>
        <w:t>DA</w:t>
      </w:r>
      <w:r w:rsidR="557720F3" w:rsidRPr="68A3C7B1">
        <w:rPr>
          <w:rFonts w:ascii="Arial" w:hAnsi="Arial" w:cs="Arial"/>
          <w:sz w:val="28"/>
          <w:szCs w:val="28"/>
        </w:rPr>
        <w:t>s</w:t>
      </w:r>
      <w:r w:rsidRPr="68A3C7B1">
        <w:rPr>
          <w:rFonts w:ascii="Arial" w:hAnsi="Arial" w:cs="Arial"/>
          <w:sz w:val="28"/>
          <w:szCs w:val="28"/>
        </w:rPr>
        <w:t xml:space="preserve"> by potential criminals. </w:t>
      </w:r>
    </w:p>
    <w:p w14:paraId="3D630598" w14:textId="7C012BA5" w:rsidR="009D6098" w:rsidRPr="005078B5" w:rsidRDefault="000C3D2B" w:rsidP="003B475F">
      <w:pPr>
        <w:pStyle w:val="ListParagraph"/>
        <w:numPr>
          <w:ilvl w:val="0"/>
          <w:numId w:val="9"/>
        </w:numPr>
        <w:spacing w:line="360" w:lineRule="auto"/>
        <w:ind w:left="0" w:firstLine="0"/>
        <w:jc w:val="both"/>
        <w:outlineLvl w:val="1"/>
        <w:rPr>
          <w:rFonts w:ascii="Arial" w:hAnsi="Arial" w:cs="Arial"/>
          <w:b/>
          <w:bCs/>
          <w:sz w:val="28"/>
          <w:szCs w:val="28"/>
          <w:lang w:val="ru-RU"/>
        </w:rPr>
      </w:pPr>
      <w:bookmarkStart w:id="18" w:name="_Toc170314428"/>
      <w:r>
        <w:rPr>
          <w:rFonts w:ascii="Arial" w:hAnsi="Arial" w:cs="Arial"/>
          <w:b/>
          <w:bCs/>
          <w:sz w:val="28"/>
          <w:szCs w:val="28"/>
        </w:rPr>
        <w:lastRenderedPageBreak/>
        <w:t>Immutability</w:t>
      </w:r>
      <w:r w:rsidR="009D6098" w:rsidRPr="005078B5">
        <w:rPr>
          <w:rFonts w:ascii="Arial" w:hAnsi="Arial" w:cs="Arial"/>
          <w:b/>
          <w:bCs/>
          <w:sz w:val="28"/>
          <w:szCs w:val="28"/>
        </w:rPr>
        <w:t xml:space="preserve"> of transactions</w:t>
      </w:r>
      <w:bookmarkEnd w:id="18"/>
    </w:p>
    <w:p w14:paraId="6202F180" w14:textId="495C64B9" w:rsidR="00BD29CB" w:rsidRPr="007B3F28" w:rsidRDefault="00BD29CB" w:rsidP="003B475F">
      <w:pPr>
        <w:spacing w:line="360" w:lineRule="auto"/>
        <w:jc w:val="both"/>
        <w:rPr>
          <w:rFonts w:ascii="Arial" w:hAnsi="Arial" w:cs="Arial"/>
          <w:sz w:val="28"/>
          <w:szCs w:val="28"/>
        </w:rPr>
      </w:pPr>
      <w:r w:rsidRPr="7AD5C25C">
        <w:rPr>
          <w:rFonts w:ascii="Arial" w:hAnsi="Arial" w:cs="Arial"/>
          <w:sz w:val="28"/>
          <w:szCs w:val="28"/>
        </w:rPr>
        <w:t>In this context, i</w:t>
      </w:r>
      <w:r w:rsidR="00766A04">
        <w:rPr>
          <w:rFonts w:ascii="Arial" w:hAnsi="Arial" w:cs="Arial"/>
          <w:sz w:val="28"/>
          <w:szCs w:val="28"/>
        </w:rPr>
        <w:t>mmutability</w:t>
      </w:r>
      <w:r w:rsidRPr="7AD5C25C">
        <w:rPr>
          <w:rFonts w:ascii="Arial" w:hAnsi="Arial" w:cs="Arial"/>
          <w:sz w:val="28"/>
          <w:szCs w:val="28"/>
        </w:rPr>
        <w:t xml:space="preserve"> refers to the possibility that the user will not be able to reverse their operations. </w:t>
      </w:r>
      <w:r w:rsidR="009C0BAD">
        <w:rPr>
          <w:rFonts w:ascii="Arial" w:hAnsi="Arial" w:cs="Arial"/>
          <w:sz w:val="28"/>
          <w:szCs w:val="28"/>
        </w:rPr>
        <w:t>DAs</w:t>
      </w:r>
      <w:r w:rsidRPr="7AD5C25C">
        <w:rPr>
          <w:rFonts w:ascii="Arial" w:hAnsi="Arial" w:cs="Arial"/>
          <w:sz w:val="28"/>
          <w:szCs w:val="28"/>
        </w:rPr>
        <w:t xml:space="preserve"> that do not have the function of transaction reversibility become the most attractive for criminals to achieve their ML/TF goals.</w:t>
      </w:r>
    </w:p>
    <w:p w14:paraId="21FBEB14" w14:textId="604980CE" w:rsidR="003358D2" w:rsidRPr="007B3F28" w:rsidRDefault="00BD29CB" w:rsidP="003B475F">
      <w:pPr>
        <w:spacing w:line="360" w:lineRule="auto"/>
        <w:jc w:val="both"/>
        <w:rPr>
          <w:rFonts w:ascii="Arial" w:hAnsi="Arial" w:cs="Arial"/>
          <w:sz w:val="28"/>
          <w:szCs w:val="28"/>
        </w:rPr>
      </w:pPr>
      <w:r w:rsidRPr="00BD29CB">
        <w:rPr>
          <w:rFonts w:ascii="Arial" w:hAnsi="Arial" w:cs="Arial"/>
          <w:sz w:val="28"/>
          <w:szCs w:val="28"/>
        </w:rPr>
        <w:t xml:space="preserve">The irreversibility of transactions provides significant advantages to criminals. In traditional financial instruments such as credit cards, the user or bank can reverse a transaction if it is fraudulent. In many </w:t>
      </w:r>
      <w:r w:rsidR="009C0BAD">
        <w:rPr>
          <w:rFonts w:ascii="Arial" w:hAnsi="Arial" w:cs="Arial"/>
          <w:sz w:val="28"/>
          <w:szCs w:val="28"/>
        </w:rPr>
        <w:t>DAs</w:t>
      </w:r>
      <w:r w:rsidRPr="00BD29CB">
        <w:rPr>
          <w:rFonts w:ascii="Arial" w:hAnsi="Arial" w:cs="Arial"/>
          <w:sz w:val="28"/>
          <w:szCs w:val="28"/>
        </w:rPr>
        <w:t xml:space="preserve">, transactions are irreversible, so even if fraud is detected at an early stage, the funds cannot be automatically returned. This leads to the problem of returning assets that have become the subject of criminal acts. </w:t>
      </w:r>
    </w:p>
    <w:p w14:paraId="10D6F2FA" w14:textId="7CFA16E0" w:rsidR="00EA3ED2" w:rsidRPr="005078B5" w:rsidRDefault="00EA3ED2" w:rsidP="003B475F">
      <w:pPr>
        <w:pStyle w:val="ListParagraph"/>
        <w:numPr>
          <w:ilvl w:val="0"/>
          <w:numId w:val="9"/>
        </w:numPr>
        <w:spacing w:line="360" w:lineRule="auto"/>
        <w:ind w:left="0" w:firstLine="0"/>
        <w:jc w:val="both"/>
        <w:outlineLvl w:val="1"/>
        <w:rPr>
          <w:rFonts w:ascii="Arial" w:hAnsi="Arial" w:cs="Arial"/>
          <w:b/>
          <w:bCs/>
          <w:sz w:val="28"/>
          <w:szCs w:val="28"/>
          <w:lang w:val="ru-RU"/>
        </w:rPr>
      </w:pPr>
      <w:bookmarkStart w:id="19" w:name="_Toc170314429"/>
      <w:r w:rsidRPr="005078B5">
        <w:rPr>
          <w:rFonts w:ascii="Arial" w:hAnsi="Arial" w:cs="Arial"/>
          <w:b/>
          <w:bCs/>
          <w:sz w:val="28"/>
          <w:szCs w:val="28"/>
        </w:rPr>
        <w:t>Security</w:t>
      </w:r>
      <w:bookmarkEnd w:id="19"/>
      <w:r w:rsidRPr="005078B5">
        <w:rPr>
          <w:rFonts w:ascii="Arial" w:hAnsi="Arial" w:cs="Arial"/>
          <w:b/>
          <w:bCs/>
          <w:sz w:val="28"/>
          <w:szCs w:val="28"/>
        </w:rPr>
        <w:t xml:space="preserve"> </w:t>
      </w:r>
    </w:p>
    <w:p w14:paraId="7A2A5CBB" w14:textId="01ACF0AC" w:rsidR="008664CB" w:rsidRPr="007B3F28" w:rsidRDefault="003C4B4A" w:rsidP="003B475F">
      <w:pPr>
        <w:spacing w:line="360" w:lineRule="auto"/>
        <w:jc w:val="both"/>
        <w:rPr>
          <w:rFonts w:ascii="Arial" w:hAnsi="Arial" w:cs="Arial"/>
          <w:sz w:val="28"/>
          <w:szCs w:val="28"/>
        </w:rPr>
      </w:pPr>
      <w:r>
        <w:rPr>
          <w:rFonts w:ascii="Arial" w:hAnsi="Arial" w:cs="Arial"/>
          <w:sz w:val="28"/>
          <w:szCs w:val="28"/>
        </w:rPr>
        <w:t xml:space="preserve">The security issues of </w:t>
      </w:r>
      <w:r w:rsidR="009C0BAD">
        <w:rPr>
          <w:rFonts w:ascii="Arial" w:hAnsi="Arial" w:cs="Arial"/>
          <w:sz w:val="28"/>
          <w:szCs w:val="28"/>
        </w:rPr>
        <w:t>D</w:t>
      </w:r>
      <w:r>
        <w:rPr>
          <w:rFonts w:ascii="Arial" w:hAnsi="Arial" w:cs="Arial"/>
          <w:sz w:val="28"/>
          <w:szCs w:val="28"/>
        </w:rPr>
        <w:t>A/</w:t>
      </w:r>
      <w:r w:rsidR="009C0BAD">
        <w:rPr>
          <w:rFonts w:ascii="Arial" w:hAnsi="Arial" w:cs="Arial"/>
          <w:sz w:val="28"/>
          <w:szCs w:val="28"/>
        </w:rPr>
        <w:t>DASP</w:t>
      </w:r>
      <w:r>
        <w:rPr>
          <w:rFonts w:ascii="Arial" w:hAnsi="Arial" w:cs="Arial"/>
          <w:sz w:val="28"/>
          <w:szCs w:val="28"/>
        </w:rPr>
        <w:t xml:space="preserve"> systems depend on the existence of gaps and weaknesses </w:t>
      </w:r>
      <w:r w:rsidR="001570CD">
        <w:rPr>
          <w:rFonts w:ascii="Arial" w:hAnsi="Arial" w:cs="Arial"/>
          <w:sz w:val="28"/>
          <w:szCs w:val="28"/>
        </w:rPr>
        <w:t>o</w:t>
      </w:r>
      <w:r>
        <w:rPr>
          <w:rFonts w:ascii="Arial" w:hAnsi="Arial" w:cs="Arial"/>
          <w:sz w:val="28"/>
          <w:szCs w:val="28"/>
        </w:rPr>
        <w:t xml:space="preserve">n the </w:t>
      </w:r>
      <w:r w:rsidR="00CF6ADE">
        <w:rPr>
          <w:rFonts w:ascii="Arial" w:hAnsi="Arial" w:cs="Arial"/>
          <w:sz w:val="28"/>
          <w:szCs w:val="28"/>
        </w:rPr>
        <w:t>D</w:t>
      </w:r>
      <w:r>
        <w:rPr>
          <w:rFonts w:ascii="Arial" w:hAnsi="Arial" w:cs="Arial"/>
          <w:sz w:val="28"/>
          <w:szCs w:val="28"/>
        </w:rPr>
        <w:t>A</w:t>
      </w:r>
      <w:r w:rsidR="00BD78A6">
        <w:rPr>
          <w:rFonts w:ascii="Arial" w:hAnsi="Arial" w:cs="Arial"/>
          <w:sz w:val="28"/>
          <w:szCs w:val="28"/>
        </w:rPr>
        <w:t>’s blockchain</w:t>
      </w:r>
      <w:r>
        <w:rPr>
          <w:rFonts w:ascii="Arial" w:hAnsi="Arial" w:cs="Arial"/>
          <w:sz w:val="28"/>
          <w:szCs w:val="28"/>
        </w:rPr>
        <w:t xml:space="preserve"> and </w:t>
      </w:r>
      <w:r w:rsidR="00CF6ADE">
        <w:rPr>
          <w:rFonts w:ascii="Arial" w:hAnsi="Arial" w:cs="Arial"/>
          <w:sz w:val="28"/>
          <w:szCs w:val="28"/>
        </w:rPr>
        <w:t>DASP</w:t>
      </w:r>
      <w:r>
        <w:rPr>
          <w:rFonts w:ascii="Arial" w:hAnsi="Arial" w:cs="Arial"/>
          <w:sz w:val="28"/>
          <w:szCs w:val="28"/>
        </w:rPr>
        <w:t xml:space="preserve"> systems. In addition, much depends on the behavior of the user</w:t>
      </w:r>
      <w:r w:rsidR="00E131A0">
        <w:rPr>
          <w:rFonts w:ascii="Arial" w:hAnsi="Arial" w:cs="Arial"/>
          <w:sz w:val="28"/>
          <w:szCs w:val="28"/>
        </w:rPr>
        <w:t>.</w:t>
      </w:r>
    </w:p>
    <w:tbl>
      <w:tblPr>
        <w:tblStyle w:val="TableGrid"/>
        <w:tblW w:w="0" w:type="auto"/>
        <w:tblLook w:val="04A0" w:firstRow="1" w:lastRow="0" w:firstColumn="1" w:lastColumn="0" w:noHBand="0" w:noVBand="1"/>
      </w:tblPr>
      <w:tblGrid>
        <w:gridCol w:w="9345"/>
      </w:tblGrid>
      <w:tr w:rsidR="003B475F" w:rsidRPr="00D12FAD" w14:paraId="0C273C37" w14:textId="77777777" w:rsidTr="68A3C7B1">
        <w:tc>
          <w:tcPr>
            <w:tcW w:w="9345" w:type="dxa"/>
            <w:shd w:val="clear" w:color="auto" w:fill="DBDBDB" w:themeFill="accent3" w:themeFillTint="66"/>
          </w:tcPr>
          <w:p w14:paraId="72830E1A" w14:textId="77777777" w:rsidR="003B475F" w:rsidRPr="007B3F28" w:rsidRDefault="003B475F" w:rsidP="003B475F">
            <w:pPr>
              <w:spacing w:after="160" w:line="360" w:lineRule="auto"/>
              <w:jc w:val="both"/>
              <w:rPr>
                <w:rFonts w:ascii="Arial" w:hAnsi="Arial" w:cs="Arial"/>
                <w:b/>
                <w:bCs/>
                <w:sz w:val="28"/>
                <w:szCs w:val="28"/>
              </w:rPr>
            </w:pPr>
            <w:r w:rsidRPr="003B475F">
              <w:rPr>
                <w:rFonts w:ascii="Arial" w:hAnsi="Arial" w:cs="Arial"/>
                <w:b/>
                <w:bCs/>
                <w:sz w:val="28"/>
                <w:szCs w:val="28"/>
              </w:rPr>
              <w:t>Example.</w:t>
            </w:r>
          </w:p>
          <w:p w14:paraId="28C0EBEA" w14:textId="40C4921F" w:rsidR="003B475F" w:rsidRPr="007B3F28" w:rsidRDefault="02F9E107" w:rsidP="003B475F">
            <w:pPr>
              <w:spacing w:after="160" w:line="360" w:lineRule="auto"/>
              <w:jc w:val="both"/>
              <w:rPr>
                <w:rFonts w:ascii="Arial" w:hAnsi="Arial" w:cs="Arial"/>
                <w:sz w:val="28"/>
                <w:szCs w:val="28"/>
              </w:rPr>
            </w:pPr>
            <w:r w:rsidRPr="68A3C7B1">
              <w:rPr>
                <w:rFonts w:ascii="Arial" w:hAnsi="Arial" w:cs="Arial"/>
                <w:sz w:val="28"/>
                <w:szCs w:val="28"/>
              </w:rPr>
              <w:t xml:space="preserve">On a </w:t>
            </w:r>
            <w:proofErr w:type="spellStart"/>
            <w:r w:rsidRPr="68A3C7B1">
              <w:rPr>
                <w:rFonts w:ascii="Arial" w:hAnsi="Arial" w:cs="Arial"/>
                <w:sz w:val="28"/>
                <w:szCs w:val="28"/>
              </w:rPr>
              <w:t>cryptoexchange</w:t>
            </w:r>
            <w:proofErr w:type="spellEnd"/>
            <w:r w:rsidRPr="68A3C7B1">
              <w:rPr>
                <w:rFonts w:ascii="Arial" w:hAnsi="Arial" w:cs="Arial"/>
                <w:sz w:val="28"/>
                <w:szCs w:val="28"/>
              </w:rPr>
              <w:t xml:space="preserve"> licensed in the AIFC, the client provided a scanned bank statement as proof of annual income. When checking the accuracy of the data provided, inconsistencies were identified. </w:t>
            </w:r>
            <w:proofErr w:type="gramStart"/>
            <w:r w:rsidRPr="68A3C7B1">
              <w:rPr>
                <w:rFonts w:ascii="Arial" w:hAnsi="Arial" w:cs="Arial"/>
                <w:sz w:val="28"/>
                <w:szCs w:val="28"/>
              </w:rPr>
              <w:t>In particular, in</w:t>
            </w:r>
            <w:proofErr w:type="gramEnd"/>
            <w:r w:rsidRPr="68A3C7B1">
              <w:rPr>
                <w:rFonts w:ascii="Arial" w:hAnsi="Arial" w:cs="Arial"/>
                <w:sz w:val="28"/>
                <w:szCs w:val="28"/>
              </w:rPr>
              <w:t xml:space="preserve"> the column "Transaction amount" in the line "Receipt to the account of an individual entrepreneur" the amount of 1,258,000 tenge was indicated, while in the column "Receipt in the currency of the account" for the same entry there was 258,270 tenge. Such a discrepancy indicates a deliberate increase in the funds received, presumably to increase the trading limit on the </w:t>
            </w:r>
            <w:proofErr w:type="spellStart"/>
            <w:r w:rsidRPr="68A3C7B1">
              <w:rPr>
                <w:rFonts w:ascii="Arial" w:hAnsi="Arial" w:cs="Arial"/>
                <w:sz w:val="28"/>
                <w:szCs w:val="28"/>
              </w:rPr>
              <w:t>cryptoexchange</w:t>
            </w:r>
            <w:proofErr w:type="spellEnd"/>
            <w:r w:rsidRPr="68A3C7B1">
              <w:rPr>
                <w:rFonts w:ascii="Arial" w:hAnsi="Arial" w:cs="Arial"/>
                <w:sz w:val="28"/>
                <w:szCs w:val="28"/>
              </w:rPr>
              <w:t xml:space="preserve"> platform. Such </w:t>
            </w:r>
            <w:r w:rsidR="47E65C7E" w:rsidRPr="68A3C7B1">
              <w:rPr>
                <w:rFonts w:ascii="Arial" w:hAnsi="Arial" w:cs="Arial"/>
                <w:sz w:val="28"/>
                <w:szCs w:val="28"/>
              </w:rPr>
              <w:t>behavior</w:t>
            </w:r>
            <w:r w:rsidRPr="68A3C7B1">
              <w:rPr>
                <w:rFonts w:ascii="Arial" w:hAnsi="Arial" w:cs="Arial"/>
                <w:sz w:val="28"/>
                <w:szCs w:val="28"/>
              </w:rPr>
              <w:t xml:space="preserve"> is in line with the classification set out in the AIFC Participant's internal policy as "Provision by the client of forged documents or alteration of photographs and/or identification documents during the registration process". The </w:t>
            </w:r>
            <w:proofErr w:type="spellStart"/>
            <w:r w:rsidRPr="68A3C7B1">
              <w:rPr>
                <w:rFonts w:ascii="Arial" w:hAnsi="Arial" w:cs="Arial"/>
                <w:sz w:val="28"/>
                <w:szCs w:val="28"/>
              </w:rPr>
              <w:t>cryptoexchange</w:t>
            </w:r>
            <w:proofErr w:type="spellEnd"/>
            <w:r w:rsidRPr="68A3C7B1">
              <w:rPr>
                <w:rFonts w:ascii="Arial" w:hAnsi="Arial" w:cs="Arial"/>
                <w:sz w:val="28"/>
                <w:szCs w:val="28"/>
              </w:rPr>
              <w:t xml:space="preserve"> decided </w:t>
            </w:r>
            <w:r w:rsidRPr="68A3C7B1">
              <w:rPr>
                <w:rFonts w:ascii="Arial" w:hAnsi="Arial" w:cs="Arial"/>
                <w:sz w:val="28"/>
                <w:szCs w:val="28"/>
              </w:rPr>
              <w:lastRenderedPageBreak/>
              <w:t xml:space="preserve">to terminate the business relationship with this client, due to the increased risk posed by such customers. </w:t>
            </w:r>
          </w:p>
        </w:tc>
      </w:tr>
    </w:tbl>
    <w:p w14:paraId="3D55DB55" w14:textId="77777777" w:rsidR="003B475F" w:rsidRPr="007B3F28" w:rsidRDefault="003B475F" w:rsidP="003B475F">
      <w:pPr>
        <w:spacing w:line="360" w:lineRule="auto"/>
        <w:jc w:val="both"/>
        <w:rPr>
          <w:rFonts w:ascii="Arial" w:hAnsi="Arial" w:cs="Arial"/>
          <w:sz w:val="28"/>
          <w:szCs w:val="28"/>
        </w:rPr>
      </w:pPr>
    </w:p>
    <w:p w14:paraId="5AA54D9D" w14:textId="5D60C552" w:rsidR="005C0E26" w:rsidRPr="007B3F28" w:rsidRDefault="001519D9" w:rsidP="003B475F">
      <w:pPr>
        <w:pStyle w:val="ListParagraph"/>
        <w:numPr>
          <w:ilvl w:val="0"/>
          <w:numId w:val="9"/>
        </w:numPr>
        <w:spacing w:line="360" w:lineRule="auto"/>
        <w:ind w:left="709" w:hanging="709"/>
        <w:jc w:val="both"/>
        <w:outlineLvl w:val="1"/>
        <w:rPr>
          <w:rFonts w:ascii="Arial" w:hAnsi="Arial" w:cs="Arial"/>
          <w:b/>
          <w:bCs/>
          <w:sz w:val="28"/>
          <w:szCs w:val="28"/>
        </w:rPr>
      </w:pPr>
      <w:bookmarkStart w:id="20" w:name="_Toc170314430"/>
      <w:r w:rsidRPr="001E4E81">
        <w:rPr>
          <w:rFonts w:ascii="Arial" w:hAnsi="Arial" w:cs="Arial"/>
          <w:b/>
          <w:bCs/>
          <w:sz w:val="28"/>
          <w:szCs w:val="28"/>
        </w:rPr>
        <w:t xml:space="preserve">Weak differentiation of global platforms from </w:t>
      </w:r>
      <w:r w:rsidR="00CF6ADE">
        <w:rPr>
          <w:rFonts w:ascii="Arial" w:hAnsi="Arial" w:cs="Arial"/>
          <w:b/>
          <w:bCs/>
          <w:sz w:val="28"/>
          <w:szCs w:val="28"/>
        </w:rPr>
        <w:t>DASPs</w:t>
      </w:r>
      <w:r w:rsidRPr="001E4E81">
        <w:rPr>
          <w:rFonts w:ascii="Arial" w:hAnsi="Arial" w:cs="Arial"/>
          <w:b/>
          <w:bCs/>
          <w:sz w:val="28"/>
          <w:szCs w:val="28"/>
        </w:rPr>
        <w:t xml:space="preserve"> registered in the AIFC.</w:t>
      </w:r>
      <w:bookmarkEnd w:id="20"/>
    </w:p>
    <w:p w14:paraId="06E6A68D" w14:textId="6D507E9B" w:rsidR="002C4EA2" w:rsidRPr="007B3F28" w:rsidRDefault="0019426D" w:rsidP="003B475F">
      <w:pPr>
        <w:spacing w:line="360" w:lineRule="auto"/>
        <w:jc w:val="both"/>
        <w:rPr>
          <w:rFonts w:ascii="Arial" w:hAnsi="Arial" w:cs="Arial"/>
          <w:sz w:val="28"/>
          <w:szCs w:val="28"/>
        </w:rPr>
      </w:pPr>
      <w:r>
        <w:rPr>
          <w:rFonts w:ascii="Arial" w:hAnsi="Arial" w:cs="Arial"/>
          <w:sz w:val="28"/>
          <w:szCs w:val="28"/>
        </w:rPr>
        <w:t xml:space="preserve">The availability of the ability to register on the global platform, bypassing the existing rules and regulations for </w:t>
      </w:r>
      <w:r w:rsidR="00CF6ADE">
        <w:rPr>
          <w:rFonts w:ascii="Arial" w:hAnsi="Arial" w:cs="Arial"/>
          <w:sz w:val="28"/>
          <w:szCs w:val="28"/>
        </w:rPr>
        <w:t xml:space="preserve">DASPs </w:t>
      </w:r>
      <w:r>
        <w:rPr>
          <w:rFonts w:ascii="Arial" w:hAnsi="Arial" w:cs="Arial"/>
          <w:sz w:val="28"/>
          <w:szCs w:val="28"/>
        </w:rPr>
        <w:t xml:space="preserve">on the territory of the AIFC, reduces the effectiveness of the current regime applicable to </w:t>
      </w:r>
      <w:r w:rsidR="00CF6ADE">
        <w:rPr>
          <w:rFonts w:ascii="Arial" w:hAnsi="Arial" w:cs="Arial"/>
          <w:sz w:val="28"/>
          <w:szCs w:val="28"/>
        </w:rPr>
        <w:t>DASPs</w:t>
      </w:r>
      <w:r>
        <w:rPr>
          <w:rFonts w:ascii="Arial" w:hAnsi="Arial" w:cs="Arial"/>
          <w:sz w:val="28"/>
          <w:szCs w:val="28"/>
        </w:rPr>
        <w:t xml:space="preserve"> licensed </w:t>
      </w:r>
      <w:r w:rsidR="004B61CE">
        <w:rPr>
          <w:rFonts w:ascii="Arial" w:hAnsi="Arial" w:cs="Arial"/>
          <w:sz w:val="28"/>
          <w:szCs w:val="28"/>
        </w:rPr>
        <w:t>in</w:t>
      </w:r>
      <w:r>
        <w:rPr>
          <w:rFonts w:ascii="Arial" w:hAnsi="Arial" w:cs="Arial"/>
          <w:sz w:val="28"/>
          <w:szCs w:val="28"/>
        </w:rPr>
        <w:t xml:space="preserve"> the AIFC.</w:t>
      </w:r>
    </w:p>
    <w:p w14:paraId="2A750067" w14:textId="566A22E0" w:rsidR="163D0282" w:rsidRDefault="163D0282" w:rsidP="163D0282">
      <w:pPr>
        <w:spacing w:line="360" w:lineRule="auto"/>
        <w:jc w:val="both"/>
        <w:rPr>
          <w:rFonts w:ascii="Arial" w:hAnsi="Arial" w:cs="Arial"/>
          <w:sz w:val="28"/>
          <w:szCs w:val="28"/>
        </w:rPr>
      </w:pPr>
    </w:p>
    <w:p w14:paraId="18B668D1" w14:textId="77777777" w:rsidR="00ED368C" w:rsidRDefault="00ED368C" w:rsidP="163D0282">
      <w:pPr>
        <w:spacing w:line="360" w:lineRule="auto"/>
        <w:jc w:val="both"/>
        <w:rPr>
          <w:rFonts w:ascii="Arial" w:hAnsi="Arial" w:cs="Arial"/>
          <w:sz w:val="28"/>
          <w:szCs w:val="28"/>
        </w:rPr>
      </w:pPr>
    </w:p>
    <w:p w14:paraId="01E382F4" w14:textId="77777777" w:rsidR="00714CDE" w:rsidRDefault="00714CDE" w:rsidP="163D0282">
      <w:pPr>
        <w:spacing w:line="360" w:lineRule="auto"/>
        <w:jc w:val="both"/>
        <w:rPr>
          <w:rFonts w:ascii="Arial" w:hAnsi="Arial" w:cs="Arial"/>
          <w:sz w:val="28"/>
          <w:szCs w:val="28"/>
        </w:rPr>
      </w:pPr>
    </w:p>
    <w:p w14:paraId="3ED7BD7C" w14:textId="77777777" w:rsidR="00714CDE" w:rsidRDefault="00714CDE" w:rsidP="163D0282">
      <w:pPr>
        <w:spacing w:line="360" w:lineRule="auto"/>
        <w:jc w:val="both"/>
        <w:rPr>
          <w:rFonts w:ascii="Arial" w:hAnsi="Arial" w:cs="Arial"/>
          <w:sz w:val="28"/>
          <w:szCs w:val="28"/>
        </w:rPr>
      </w:pPr>
    </w:p>
    <w:p w14:paraId="2A3B0750" w14:textId="77777777" w:rsidR="00714CDE" w:rsidRDefault="00714CDE" w:rsidP="163D0282">
      <w:pPr>
        <w:spacing w:line="360" w:lineRule="auto"/>
        <w:jc w:val="both"/>
        <w:rPr>
          <w:rFonts w:ascii="Arial" w:hAnsi="Arial" w:cs="Arial"/>
          <w:sz w:val="28"/>
          <w:szCs w:val="28"/>
        </w:rPr>
      </w:pPr>
    </w:p>
    <w:p w14:paraId="0F806A1D" w14:textId="77777777" w:rsidR="00714CDE" w:rsidRDefault="00714CDE" w:rsidP="163D0282">
      <w:pPr>
        <w:spacing w:line="360" w:lineRule="auto"/>
        <w:jc w:val="both"/>
        <w:rPr>
          <w:rFonts w:ascii="Arial" w:hAnsi="Arial" w:cs="Arial"/>
          <w:sz w:val="28"/>
          <w:szCs w:val="28"/>
        </w:rPr>
      </w:pPr>
    </w:p>
    <w:p w14:paraId="638AEEC7" w14:textId="77777777" w:rsidR="00714CDE" w:rsidRDefault="00714CDE" w:rsidP="163D0282">
      <w:pPr>
        <w:spacing w:line="360" w:lineRule="auto"/>
        <w:jc w:val="both"/>
        <w:rPr>
          <w:rFonts w:ascii="Arial" w:hAnsi="Arial" w:cs="Arial"/>
          <w:sz w:val="28"/>
          <w:szCs w:val="28"/>
        </w:rPr>
      </w:pPr>
    </w:p>
    <w:p w14:paraId="73F00490" w14:textId="77777777" w:rsidR="00714CDE" w:rsidRDefault="00714CDE" w:rsidP="163D0282">
      <w:pPr>
        <w:spacing w:line="360" w:lineRule="auto"/>
        <w:jc w:val="both"/>
        <w:rPr>
          <w:rFonts w:ascii="Arial" w:hAnsi="Arial" w:cs="Arial"/>
          <w:sz w:val="28"/>
          <w:szCs w:val="28"/>
        </w:rPr>
      </w:pPr>
    </w:p>
    <w:p w14:paraId="2F009EB6" w14:textId="77777777" w:rsidR="00714CDE" w:rsidRDefault="00714CDE" w:rsidP="163D0282">
      <w:pPr>
        <w:spacing w:line="360" w:lineRule="auto"/>
        <w:jc w:val="both"/>
        <w:rPr>
          <w:rFonts w:ascii="Arial" w:hAnsi="Arial" w:cs="Arial"/>
          <w:sz w:val="28"/>
          <w:szCs w:val="28"/>
        </w:rPr>
      </w:pPr>
    </w:p>
    <w:p w14:paraId="1DB6770F" w14:textId="77777777" w:rsidR="00714CDE" w:rsidRDefault="00714CDE" w:rsidP="163D0282">
      <w:pPr>
        <w:spacing w:line="360" w:lineRule="auto"/>
        <w:jc w:val="both"/>
        <w:rPr>
          <w:rFonts w:ascii="Arial" w:hAnsi="Arial" w:cs="Arial"/>
          <w:sz w:val="28"/>
          <w:szCs w:val="28"/>
        </w:rPr>
      </w:pPr>
    </w:p>
    <w:p w14:paraId="2746AC83" w14:textId="77777777" w:rsidR="00714CDE" w:rsidRDefault="00714CDE" w:rsidP="163D0282">
      <w:pPr>
        <w:spacing w:line="360" w:lineRule="auto"/>
        <w:jc w:val="both"/>
        <w:rPr>
          <w:rFonts w:ascii="Arial" w:hAnsi="Arial" w:cs="Arial"/>
          <w:sz w:val="28"/>
          <w:szCs w:val="28"/>
        </w:rPr>
      </w:pPr>
    </w:p>
    <w:p w14:paraId="4C24F57A" w14:textId="77777777" w:rsidR="00714CDE" w:rsidRDefault="00714CDE" w:rsidP="163D0282">
      <w:pPr>
        <w:spacing w:line="360" w:lineRule="auto"/>
        <w:jc w:val="both"/>
        <w:rPr>
          <w:rFonts w:ascii="Arial" w:hAnsi="Arial" w:cs="Arial"/>
          <w:sz w:val="28"/>
          <w:szCs w:val="28"/>
        </w:rPr>
      </w:pPr>
    </w:p>
    <w:p w14:paraId="30016185" w14:textId="77777777" w:rsidR="00714CDE" w:rsidRDefault="00714CDE" w:rsidP="163D0282">
      <w:pPr>
        <w:spacing w:line="360" w:lineRule="auto"/>
        <w:jc w:val="both"/>
        <w:rPr>
          <w:rFonts w:ascii="Arial" w:hAnsi="Arial" w:cs="Arial"/>
          <w:sz w:val="28"/>
          <w:szCs w:val="28"/>
        </w:rPr>
      </w:pPr>
    </w:p>
    <w:p w14:paraId="4651F8D8" w14:textId="77777777" w:rsidR="00714CDE" w:rsidRDefault="00714CDE" w:rsidP="163D0282">
      <w:pPr>
        <w:spacing w:line="360" w:lineRule="auto"/>
        <w:jc w:val="both"/>
        <w:rPr>
          <w:rFonts w:ascii="Arial" w:hAnsi="Arial" w:cs="Arial"/>
          <w:sz w:val="28"/>
          <w:szCs w:val="28"/>
        </w:rPr>
      </w:pPr>
    </w:p>
    <w:p w14:paraId="1CF221F8" w14:textId="77777777" w:rsidR="00714CDE" w:rsidRPr="007B3F28" w:rsidRDefault="00714CDE" w:rsidP="163D0282">
      <w:pPr>
        <w:spacing w:line="360" w:lineRule="auto"/>
        <w:jc w:val="both"/>
        <w:rPr>
          <w:rFonts w:ascii="Arial" w:hAnsi="Arial" w:cs="Arial"/>
          <w:sz w:val="28"/>
          <w:szCs w:val="28"/>
        </w:rPr>
      </w:pPr>
    </w:p>
    <w:p w14:paraId="630876F4" w14:textId="7207FD63" w:rsidR="00513BD4" w:rsidRPr="007B3F28" w:rsidRDefault="004E465D" w:rsidP="485EBE69">
      <w:pPr>
        <w:pStyle w:val="ListParagraph"/>
        <w:numPr>
          <w:ilvl w:val="0"/>
          <w:numId w:val="4"/>
        </w:numPr>
        <w:spacing w:line="360" w:lineRule="auto"/>
        <w:ind w:left="0" w:firstLine="0"/>
        <w:jc w:val="both"/>
        <w:outlineLvl w:val="0"/>
        <w:rPr>
          <w:rFonts w:ascii="Arial" w:hAnsi="Arial" w:cs="Arial"/>
          <w:b/>
          <w:bCs/>
          <w:sz w:val="28"/>
          <w:szCs w:val="28"/>
        </w:rPr>
      </w:pPr>
      <w:bookmarkStart w:id="21" w:name="_Toc170314431"/>
      <w:r w:rsidRPr="00A835B7">
        <w:rPr>
          <w:rFonts w:ascii="Arial" w:hAnsi="Arial" w:cs="Arial"/>
          <w:b/>
          <w:bCs/>
          <w:sz w:val="28"/>
          <w:szCs w:val="28"/>
        </w:rPr>
        <w:lastRenderedPageBreak/>
        <w:t xml:space="preserve">MEASURES TAKEN BY THE AIFC TO </w:t>
      </w:r>
      <w:r w:rsidR="00CF6ADE">
        <w:rPr>
          <w:rFonts w:ascii="Arial" w:hAnsi="Arial" w:cs="Arial"/>
          <w:b/>
          <w:bCs/>
          <w:sz w:val="28"/>
          <w:szCs w:val="28"/>
        </w:rPr>
        <w:t>MITIGATE</w:t>
      </w:r>
      <w:r w:rsidRPr="00A835B7">
        <w:rPr>
          <w:rFonts w:ascii="Arial" w:hAnsi="Arial" w:cs="Arial"/>
          <w:b/>
          <w:bCs/>
          <w:sz w:val="28"/>
          <w:szCs w:val="28"/>
        </w:rPr>
        <w:t xml:space="preserve"> THE LEVEL OF THREATS AND VULNERABILITIES.</w:t>
      </w:r>
      <w:bookmarkEnd w:id="21"/>
      <w:r w:rsidRPr="00A835B7">
        <w:rPr>
          <w:rFonts w:ascii="Arial" w:hAnsi="Arial" w:cs="Arial"/>
          <w:b/>
          <w:bCs/>
          <w:sz w:val="28"/>
          <w:szCs w:val="28"/>
        </w:rPr>
        <w:t xml:space="preserve">  </w:t>
      </w:r>
    </w:p>
    <w:p w14:paraId="02BEC236" w14:textId="6095F7AB" w:rsidR="00881BAA" w:rsidRPr="007B3F28" w:rsidRDefault="00B3538C" w:rsidP="003B475F">
      <w:pPr>
        <w:spacing w:line="360" w:lineRule="auto"/>
        <w:jc w:val="both"/>
        <w:rPr>
          <w:rFonts w:ascii="Arial" w:hAnsi="Arial" w:cs="Arial"/>
          <w:sz w:val="28"/>
          <w:szCs w:val="28"/>
        </w:rPr>
      </w:pPr>
      <w:r w:rsidRPr="7AD5C25C">
        <w:rPr>
          <w:rFonts w:ascii="Arial" w:hAnsi="Arial" w:cs="Arial"/>
          <w:sz w:val="28"/>
          <w:szCs w:val="28"/>
        </w:rPr>
        <w:t xml:space="preserve">When using </w:t>
      </w:r>
      <w:r w:rsidR="00CF6ADE">
        <w:rPr>
          <w:rFonts w:ascii="Arial" w:hAnsi="Arial" w:cs="Arial"/>
          <w:sz w:val="28"/>
          <w:szCs w:val="28"/>
        </w:rPr>
        <w:t>DAs</w:t>
      </w:r>
      <w:r w:rsidRPr="7AD5C25C">
        <w:rPr>
          <w:rFonts w:ascii="Arial" w:hAnsi="Arial" w:cs="Arial"/>
          <w:sz w:val="28"/>
          <w:szCs w:val="28"/>
        </w:rPr>
        <w:t xml:space="preserve"> to achieve ML/TF goals or commit predicate crimes, potential criminals are guided by the presence of the vulnerabilities identified above. Accordingly, measures aimed at reducing the level and number of vulnerabilities inevitably affect the conditions for the formation of potential threats and have a positive effect on reducing the level of these threats. </w:t>
      </w:r>
    </w:p>
    <w:p w14:paraId="551922D4" w14:textId="54354F2D" w:rsidR="00FE2CD1" w:rsidRPr="007B3F28" w:rsidRDefault="4BA7DC87" w:rsidP="003B475F">
      <w:pPr>
        <w:spacing w:line="360" w:lineRule="auto"/>
        <w:jc w:val="both"/>
        <w:rPr>
          <w:rFonts w:ascii="Arial" w:hAnsi="Arial" w:cs="Arial"/>
          <w:sz w:val="28"/>
          <w:szCs w:val="28"/>
        </w:rPr>
      </w:pPr>
      <w:r w:rsidRPr="68A3C7B1">
        <w:rPr>
          <w:rFonts w:ascii="Arial" w:hAnsi="Arial" w:cs="Arial"/>
          <w:sz w:val="28"/>
          <w:szCs w:val="28"/>
        </w:rPr>
        <w:t xml:space="preserve">Regular analysis of environmental risk and monitoring of </w:t>
      </w:r>
      <w:r w:rsidR="7FC4CA10" w:rsidRPr="68A3C7B1">
        <w:rPr>
          <w:rFonts w:ascii="Arial" w:hAnsi="Arial" w:cs="Arial"/>
          <w:sz w:val="28"/>
          <w:szCs w:val="28"/>
        </w:rPr>
        <w:t xml:space="preserve">the </w:t>
      </w:r>
      <w:r w:rsidR="1CAEF06B" w:rsidRPr="68A3C7B1">
        <w:rPr>
          <w:rFonts w:ascii="Arial" w:hAnsi="Arial" w:cs="Arial"/>
          <w:sz w:val="28"/>
          <w:szCs w:val="28"/>
        </w:rPr>
        <w:t>DA</w:t>
      </w:r>
      <w:r w:rsidRPr="68A3C7B1">
        <w:rPr>
          <w:rFonts w:ascii="Arial" w:hAnsi="Arial" w:cs="Arial"/>
          <w:sz w:val="28"/>
          <w:szCs w:val="28"/>
        </w:rPr>
        <w:t xml:space="preserve"> sector allows the AIFC to apply measures to reduce the level of ML/TF risk. These special procedures, measures and controls relate to the activities of registered and licensed</w:t>
      </w:r>
      <w:r w:rsidR="1CAEF06B" w:rsidRPr="68A3C7B1">
        <w:rPr>
          <w:rFonts w:ascii="Arial" w:hAnsi="Arial" w:cs="Arial"/>
          <w:sz w:val="28"/>
          <w:szCs w:val="28"/>
        </w:rPr>
        <w:t xml:space="preserve"> DASP</w:t>
      </w:r>
      <w:r w:rsidRPr="68A3C7B1">
        <w:rPr>
          <w:rFonts w:ascii="Arial" w:hAnsi="Arial" w:cs="Arial"/>
          <w:sz w:val="28"/>
          <w:szCs w:val="28"/>
        </w:rPr>
        <w:t xml:space="preserve">s in the AIFC. </w:t>
      </w:r>
    </w:p>
    <w:p w14:paraId="580EEA88" w14:textId="77777777" w:rsidR="00383833" w:rsidRPr="00FD3232" w:rsidRDefault="00570600" w:rsidP="003B475F">
      <w:pPr>
        <w:pStyle w:val="ListParagraph"/>
        <w:numPr>
          <w:ilvl w:val="0"/>
          <w:numId w:val="6"/>
        </w:numPr>
        <w:spacing w:line="360" w:lineRule="auto"/>
        <w:ind w:left="0" w:firstLine="0"/>
        <w:contextualSpacing w:val="0"/>
        <w:jc w:val="both"/>
        <w:outlineLvl w:val="1"/>
        <w:rPr>
          <w:rFonts w:ascii="Arial" w:hAnsi="Arial" w:cs="Arial"/>
          <w:b/>
          <w:bCs/>
          <w:sz w:val="28"/>
          <w:szCs w:val="28"/>
          <w:lang w:val="ru-RU"/>
        </w:rPr>
      </w:pPr>
      <w:bookmarkStart w:id="22" w:name="_Toc170314432"/>
      <w:r w:rsidRPr="003B475F">
        <w:rPr>
          <w:rFonts w:ascii="Arial" w:hAnsi="Arial"/>
          <w:b/>
          <w:sz w:val="28"/>
        </w:rPr>
        <w:t>Regulation</w:t>
      </w:r>
      <w:bookmarkEnd w:id="22"/>
    </w:p>
    <w:p w14:paraId="261D1F95" w14:textId="70420D47" w:rsidR="00FF7725" w:rsidRPr="007B3F28" w:rsidRDefault="00E02396" w:rsidP="003B475F">
      <w:pPr>
        <w:pStyle w:val="ListParagraph"/>
        <w:spacing w:line="360" w:lineRule="auto"/>
        <w:ind w:left="0"/>
        <w:contextualSpacing w:val="0"/>
        <w:jc w:val="both"/>
        <w:rPr>
          <w:rFonts w:ascii="Arial" w:hAnsi="Arial" w:cs="Arial"/>
          <w:sz w:val="28"/>
          <w:szCs w:val="28"/>
        </w:rPr>
      </w:pPr>
      <w:r w:rsidRPr="00307EF3">
        <w:rPr>
          <w:rFonts w:ascii="Arial" w:hAnsi="Arial" w:cs="Arial"/>
          <w:sz w:val="28"/>
          <w:szCs w:val="28"/>
        </w:rPr>
        <w:t xml:space="preserve">As part of the creation of a licensing regime for the activities of </w:t>
      </w:r>
      <w:r w:rsidR="00B13B18">
        <w:rPr>
          <w:rFonts w:ascii="Arial" w:hAnsi="Arial" w:cs="Arial"/>
          <w:sz w:val="28"/>
          <w:szCs w:val="28"/>
        </w:rPr>
        <w:t>DASPs</w:t>
      </w:r>
      <w:r w:rsidRPr="00307EF3">
        <w:rPr>
          <w:rFonts w:ascii="Arial" w:hAnsi="Arial" w:cs="Arial"/>
          <w:sz w:val="28"/>
          <w:szCs w:val="28"/>
        </w:rPr>
        <w:t xml:space="preserve"> and further supervision and control of their business by the AIFC, innovative legal regulation of digital assets has been developed, implemented and applied. </w:t>
      </w:r>
    </w:p>
    <w:p w14:paraId="46515146" w14:textId="0F9D3BCD" w:rsidR="00FF7725" w:rsidRPr="007B3F28" w:rsidRDefault="08650336" w:rsidP="003B475F">
      <w:pPr>
        <w:spacing w:line="360" w:lineRule="auto"/>
        <w:jc w:val="both"/>
        <w:rPr>
          <w:rFonts w:ascii="Arial" w:hAnsi="Arial" w:cs="Arial"/>
          <w:sz w:val="28"/>
          <w:szCs w:val="28"/>
        </w:rPr>
      </w:pPr>
      <w:r w:rsidRPr="68A3C7B1">
        <w:rPr>
          <w:rFonts w:ascii="Arial" w:hAnsi="Arial" w:cs="Arial"/>
          <w:sz w:val="28"/>
          <w:szCs w:val="28"/>
        </w:rPr>
        <w:t xml:space="preserve">The regulation covers such areas as: the operation of </w:t>
      </w:r>
      <w:r w:rsidR="1CAEF06B" w:rsidRPr="68A3C7B1">
        <w:rPr>
          <w:rFonts w:ascii="Arial" w:hAnsi="Arial" w:cs="Arial"/>
          <w:sz w:val="28"/>
          <w:szCs w:val="28"/>
        </w:rPr>
        <w:t>DASPs</w:t>
      </w:r>
      <w:r w:rsidRPr="68A3C7B1">
        <w:rPr>
          <w:rFonts w:ascii="Arial" w:hAnsi="Arial" w:cs="Arial"/>
          <w:sz w:val="28"/>
          <w:szCs w:val="28"/>
        </w:rPr>
        <w:t xml:space="preserve"> licensed in the AIFC; activities of the </w:t>
      </w:r>
      <w:r w:rsidR="1CAEF06B" w:rsidRPr="68A3C7B1">
        <w:rPr>
          <w:rFonts w:ascii="Arial" w:hAnsi="Arial" w:cs="Arial"/>
          <w:sz w:val="28"/>
          <w:szCs w:val="28"/>
        </w:rPr>
        <w:t>DASPs</w:t>
      </w:r>
      <w:r w:rsidRPr="68A3C7B1">
        <w:rPr>
          <w:rFonts w:ascii="Arial" w:hAnsi="Arial" w:cs="Arial"/>
          <w:sz w:val="28"/>
          <w:szCs w:val="28"/>
        </w:rPr>
        <w:t xml:space="preserve"> licensed in the AIFC for the storage and administration of </w:t>
      </w:r>
      <w:r w:rsidR="1CAEF06B" w:rsidRPr="68A3C7B1">
        <w:rPr>
          <w:rFonts w:ascii="Arial" w:hAnsi="Arial" w:cs="Arial"/>
          <w:sz w:val="28"/>
          <w:szCs w:val="28"/>
        </w:rPr>
        <w:t>D</w:t>
      </w:r>
      <w:r w:rsidRPr="68A3C7B1">
        <w:rPr>
          <w:rFonts w:ascii="Arial" w:hAnsi="Arial" w:cs="Arial"/>
          <w:sz w:val="28"/>
          <w:szCs w:val="28"/>
        </w:rPr>
        <w:t>A</w:t>
      </w:r>
      <w:r w:rsidR="1CAEF06B" w:rsidRPr="68A3C7B1">
        <w:rPr>
          <w:rFonts w:ascii="Arial" w:hAnsi="Arial" w:cs="Arial"/>
          <w:sz w:val="28"/>
          <w:szCs w:val="28"/>
        </w:rPr>
        <w:t>s</w:t>
      </w:r>
      <w:r w:rsidRPr="68A3C7B1">
        <w:rPr>
          <w:rFonts w:ascii="Arial" w:hAnsi="Arial" w:cs="Arial"/>
          <w:sz w:val="28"/>
          <w:szCs w:val="28"/>
        </w:rPr>
        <w:t xml:space="preserve">; activities of </w:t>
      </w:r>
      <w:r w:rsidR="1CAEF06B" w:rsidRPr="68A3C7B1">
        <w:rPr>
          <w:rFonts w:ascii="Arial" w:hAnsi="Arial" w:cs="Arial"/>
          <w:sz w:val="28"/>
          <w:szCs w:val="28"/>
        </w:rPr>
        <w:t>DASPs</w:t>
      </w:r>
      <w:r w:rsidRPr="68A3C7B1">
        <w:rPr>
          <w:rFonts w:ascii="Arial" w:hAnsi="Arial" w:cs="Arial"/>
          <w:sz w:val="28"/>
          <w:szCs w:val="28"/>
        </w:rPr>
        <w:t xml:space="preserve"> licensed in the AIFC to provide investment services in the field of digital assets. It should be noted that the regulatory regime of the AIFC excludes cash turnover in </w:t>
      </w:r>
      <w:r w:rsidR="4B3FA1DE" w:rsidRPr="68A3C7B1">
        <w:rPr>
          <w:rFonts w:ascii="Arial" w:hAnsi="Arial" w:cs="Arial"/>
          <w:sz w:val="28"/>
          <w:szCs w:val="28"/>
        </w:rPr>
        <w:t xml:space="preserve">the </w:t>
      </w:r>
      <w:r w:rsidR="1CAEF06B" w:rsidRPr="68A3C7B1">
        <w:rPr>
          <w:rFonts w:ascii="Arial" w:hAnsi="Arial" w:cs="Arial"/>
          <w:sz w:val="28"/>
          <w:szCs w:val="28"/>
        </w:rPr>
        <w:t xml:space="preserve">DA </w:t>
      </w:r>
      <w:r w:rsidRPr="68A3C7B1">
        <w:rPr>
          <w:rFonts w:ascii="Arial" w:hAnsi="Arial" w:cs="Arial"/>
          <w:sz w:val="28"/>
          <w:szCs w:val="28"/>
        </w:rPr>
        <w:t>sector.</w:t>
      </w:r>
    </w:p>
    <w:p w14:paraId="38A7C279" w14:textId="59D22906" w:rsidR="00FF7725" w:rsidRPr="007B3F28" w:rsidRDefault="08650336" w:rsidP="003B475F">
      <w:pPr>
        <w:spacing w:line="360" w:lineRule="auto"/>
        <w:jc w:val="both"/>
        <w:rPr>
          <w:rFonts w:ascii="Arial" w:hAnsi="Arial" w:cs="Arial"/>
          <w:sz w:val="28"/>
          <w:szCs w:val="28"/>
        </w:rPr>
      </w:pPr>
      <w:r w:rsidRPr="68A3C7B1">
        <w:rPr>
          <w:rFonts w:ascii="Arial" w:hAnsi="Arial" w:cs="Arial"/>
          <w:sz w:val="28"/>
          <w:szCs w:val="28"/>
        </w:rPr>
        <w:t xml:space="preserve">Below is the regulatory framework governing the authorization of persons and entities engaged in </w:t>
      </w:r>
      <w:r w:rsidR="6D7EA266" w:rsidRPr="68A3C7B1">
        <w:rPr>
          <w:rFonts w:ascii="Arial" w:hAnsi="Arial" w:cs="Arial"/>
          <w:sz w:val="28"/>
          <w:szCs w:val="28"/>
        </w:rPr>
        <w:t xml:space="preserve">the </w:t>
      </w:r>
      <w:r w:rsidR="1CAEF06B" w:rsidRPr="68A3C7B1">
        <w:rPr>
          <w:rFonts w:ascii="Arial" w:hAnsi="Arial" w:cs="Arial"/>
          <w:sz w:val="28"/>
          <w:szCs w:val="28"/>
        </w:rPr>
        <w:t>DA sector</w:t>
      </w:r>
      <w:r w:rsidRPr="68A3C7B1">
        <w:rPr>
          <w:rFonts w:ascii="Arial" w:hAnsi="Arial" w:cs="Arial"/>
          <w:sz w:val="28"/>
          <w:szCs w:val="28"/>
        </w:rPr>
        <w:t xml:space="preserve">, as well as certain requirements for doing business with </w:t>
      </w:r>
      <w:r w:rsidR="1CAEF06B" w:rsidRPr="68A3C7B1">
        <w:rPr>
          <w:rFonts w:ascii="Arial" w:hAnsi="Arial" w:cs="Arial"/>
          <w:sz w:val="28"/>
          <w:szCs w:val="28"/>
        </w:rPr>
        <w:t>D</w:t>
      </w:r>
      <w:r w:rsidRPr="68A3C7B1">
        <w:rPr>
          <w:rFonts w:ascii="Arial" w:hAnsi="Arial" w:cs="Arial"/>
          <w:sz w:val="28"/>
          <w:szCs w:val="28"/>
        </w:rPr>
        <w:t>A</w:t>
      </w:r>
      <w:r w:rsidR="1CAEF06B" w:rsidRPr="68A3C7B1">
        <w:rPr>
          <w:rFonts w:ascii="Arial" w:hAnsi="Arial" w:cs="Arial"/>
          <w:sz w:val="28"/>
          <w:szCs w:val="28"/>
        </w:rPr>
        <w:t>s</w:t>
      </w:r>
      <w:r w:rsidRPr="68A3C7B1">
        <w:rPr>
          <w:rFonts w:ascii="Arial" w:hAnsi="Arial" w:cs="Arial"/>
          <w:sz w:val="28"/>
          <w:szCs w:val="28"/>
        </w:rPr>
        <w:t>, including mandatory AML/CFT requirements.</w:t>
      </w:r>
    </w:p>
    <w:p w14:paraId="6CCE8C43" w14:textId="7374DB6E" w:rsidR="00914208" w:rsidRPr="007B3F28" w:rsidRDefault="00FF7725" w:rsidP="003B475F">
      <w:pPr>
        <w:pStyle w:val="ListParagraph"/>
        <w:spacing w:line="360" w:lineRule="auto"/>
        <w:ind w:left="0" w:firstLine="426"/>
        <w:jc w:val="both"/>
        <w:rPr>
          <w:rFonts w:ascii="Arial" w:hAnsi="Arial" w:cs="Arial"/>
          <w:sz w:val="28"/>
          <w:szCs w:val="28"/>
        </w:rPr>
      </w:pPr>
      <w:r w:rsidRPr="003B475F">
        <w:rPr>
          <w:rFonts w:ascii="Arial" w:hAnsi="Arial"/>
          <w:b/>
          <w:sz w:val="28"/>
        </w:rPr>
        <w:t xml:space="preserve">The AIFC Financial Services Framework Regulations (FSFR) </w:t>
      </w:r>
      <w:r w:rsidR="00B33D2F" w:rsidRPr="00F55E28">
        <w:rPr>
          <w:rFonts w:ascii="Arial" w:hAnsi="Arial" w:cs="Arial"/>
          <w:sz w:val="28"/>
          <w:szCs w:val="28"/>
        </w:rPr>
        <w:t xml:space="preserve">No. 18 dated 20 December 2017 sets out the legal framework and general requirements for the regulation of all financial services in the AIFC. </w:t>
      </w:r>
    </w:p>
    <w:p w14:paraId="16DC5FD8" w14:textId="3307D700" w:rsidR="00FF7725" w:rsidRPr="007B3F28" w:rsidRDefault="00FF7725" w:rsidP="003B475F">
      <w:pPr>
        <w:spacing w:line="360" w:lineRule="auto"/>
        <w:jc w:val="both"/>
        <w:rPr>
          <w:rFonts w:ascii="Arial" w:hAnsi="Arial" w:cs="Arial"/>
          <w:sz w:val="28"/>
          <w:szCs w:val="28"/>
        </w:rPr>
      </w:pPr>
      <w:r w:rsidRPr="00FD3232">
        <w:rPr>
          <w:rFonts w:ascii="Arial" w:hAnsi="Arial" w:cs="Arial"/>
          <w:sz w:val="28"/>
          <w:szCs w:val="28"/>
        </w:rPr>
        <w:lastRenderedPageBreak/>
        <w:t>More detailed requirements in relation to companies in the AIFC are set out in the following acts:</w:t>
      </w:r>
    </w:p>
    <w:p w14:paraId="1F55AAAD" w14:textId="57B13113" w:rsidR="00FF7725" w:rsidRPr="007B3F28" w:rsidRDefault="00FF7725" w:rsidP="003B475F">
      <w:pPr>
        <w:pStyle w:val="ListParagraph"/>
        <w:numPr>
          <w:ilvl w:val="0"/>
          <w:numId w:val="14"/>
        </w:numPr>
        <w:spacing w:line="360" w:lineRule="auto"/>
        <w:jc w:val="both"/>
        <w:rPr>
          <w:rFonts w:ascii="Arial" w:hAnsi="Arial" w:cs="Arial"/>
          <w:sz w:val="28"/>
          <w:szCs w:val="28"/>
        </w:rPr>
      </w:pPr>
      <w:r w:rsidRPr="003B475F">
        <w:rPr>
          <w:rFonts w:ascii="Arial" w:hAnsi="Arial"/>
          <w:b/>
          <w:sz w:val="28"/>
        </w:rPr>
        <w:t xml:space="preserve">General Rules (GEN) </w:t>
      </w:r>
      <w:r w:rsidR="00CB00C0" w:rsidRPr="00F55E28">
        <w:rPr>
          <w:rFonts w:ascii="Arial" w:hAnsi="Arial" w:cs="Arial"/>
          <w:sz w:val="28"/>
          <w:szCs w:val="28"/>
        </w:rPr>
        <w:t xml:space="preserve">No. FR0001 </w:t>
      </w:r>
      <w:r w:rsidR="00CF6ADE">
        <w:rPr>
          <w:rFonts w:ascii="Arial" w:hAnsi="Arial" w:cs="Arial"/>
          <w:sz w:val="28"/>
          <w:szCs w:val="28"/>
        </w:rPr>
        <w:t>dated 17</w:t>
      </w:r>
      <w:r w:rsidR="00CB00C0" w:rsidRPr="00F55E28">
        <w:rPr>
          <w:rFonts w:ascii="Arial" w:hAnsi="Arial" w:cs="Arial"/>
          <w:sz w:val="28"/>
          <w:szCs w:val="28"/>
        </w:rPr>
        <w:t xml:space="preserve"> October 2017</w:t>
      </w:r>
      <w:r w:rsidR="00E81052">
        <w:rPr>
          <w:rFonts w:ascii="Arial" w:hAnsi="Arial" w:cs="Arial"/>
          <w:b/>
          <w:bCs/>
          <w:sz w:val="28"/>
          <w:szCs w:val="28"/>
        </w:rPr>
        <w:t xml:space="preserve"> - </w:t>
      </w:r>
      <w:r w:rsidRPr="00FD3232">
        <w:rPr>
          <w:rFonts w:ascii="Arial" w:hAnsi="Arial" w:cs="Arial"/>
          <w:sz w:val="28"/>
          <w:szCs w:val="28"/>
        </w:rPr>
        <w:t>contains general requirements for company licensing, provisions on company obligations and detailed supplements to the FSFR.</w:t>
      </w:r>
    </w:p>
    <w:p w14:paraId="34817415" w14:textId="4ECFE6C0" w:rsidR="00FF7725" w:rsidRPr="00FD3232" w:rsidRDefault="00FF7725" w:rsidP="003B475F">
      <w:pPr>
        <w:pStyle w:val="ListParagraph"/>
        <w:numPr>
          <w:ilvl w:val="0"/>
          <w:numId w:val="14"/>
        </w:numPr>
        <w:spacing w:line="360" w:lineRule="auto"/>
        <w:jc w:val="both"/>
        <w:rPr>
          <w:rFonts w:ascii="Arial" w:hAnsi="Arial" w:cs="Arial"/>
          <w:sz w:val="28"/>
          <w:szCs w:val="28"/>
        </w:rPr>
      </w:pPr>
      <w:r w:rsidRPr="003B475F">
        <w:rPr>
          <w:rFonts w:ascii="Arial" w:hAnsi="Arial"/>
          <w:b/>
          <w:sz w:val="28"/>
        </w:rPr>
        <w:t xml:space="preserve">Anti-Money Laundering and Counter-Terrorist Financing and </w:t>
      </w:r>
      <w:r w:rsidRPr="00FD3232">
        <w:rPr>
          <w:rFonts w:ascii="Arial" w:hAnsi="Arial" w:cs="Arial"/>
          <w:b/>
          <w:bCs/>
          <w:sz w:val="28"/>
          <w:szCs w:val="28"/>
        </w:rPr>
        <w:t>Sanctions</w:t>
      </w:r>
      <w:r w:rsidRPr="003B475F">
        <w:rPr>
          <w:rFonts w:ascii="Arial" w:hAnsi="Arial"/>
          <w:b/>
          <w:sz w:val="28"/>
        </w:rPr>
        <w:t xml:space="preserve"> Rules (AML </w:t>
      </w:r>
      <w:r w:rsidR="00EB5187">
        <w:rPr>
          <w:rFonts w:ascii="Arial" w:hAnsi="Arial" w:cs="Arial"/>
          <w:b/>
          <w:bCs/>
          <w:sz w:val="28"/>
          <w:szCs w:val="28"/>
        </w:rPr>
        <w:t>Rules</w:t>
      </w:r>
      <w:r w:rsidRPr="003B475F">
        <w:rPr>
          <w:rFonts w:ascii="Arial" w:hAnsi="Arial"/>
          <w:b/>
          <w:sz w:val="28"/>
        </w:rPr>
        <w:t xml:space="preserve">) </w:t>
      </w:r>
      <w:r w:rsidRPr="00FD3232">
        <w:rPr>
          <w:rFonts w:ascii="Arial" w:hAnsi="Arial" w:cs="Arial"/>
          <w:sz w:val="28"/>
          <w:szCs w:val="28"/>
        </w:rPr>
        <w:t>sets out the requirements for the AML/CFT regime.</w:t>
      </w:r>
    </w:p>
    <w:p w14:paraId="7FE5264A" w14:textId="4D845640" w:rsidR="00137D47" w:rsidRPr="007B3F28" w:rsidRDefault="00137D47" w:rsidP="003B475F">
      <w:pPr>
        <w:pStyle w:val="ListParagraph"/>
        <w:numPr>
          <w:ilvl w:val="0"/>
          <w:numId w:val="14"/>
        </w:numPr>
        <w:spacing w:line="360" w:lineRule="auto"/>
        <w:jc w:val="both"/>
        <w:rPr>
          <w:rFonts w:ascii="Arial" w:hAnsi="Arial" w:cs="Arial"/>
          <w:sz w:val="28"/>
          <w:szCs w:val="28"/>
        </w:rPr>
      </w:pPr>
      <w:r>
        <w:rPr>
          <w:rFonts w:ascii="Arial" w:hAnsi="Arial" w:cs="Arial"/>
          <w:sz w:val="28"/>
          <w:szCs w:val="28"/>
        </w:rPr>
        <w:t>Requirements for the AML/CFT Internal Control Rules</w:t>
      </w:r>
    </w:p>
    <w:p w14:paraId="4D199956" w14:textId="4B3DE1FA" w:rsidR="00947201" w:rsidRPr="007B3F28" w:rsidRDefault="00947201" w:rsidP="003B475F">
      <w:pPr>
        <w:pStyle w:val="ListParagraph"/>
        <w:numPr>
          <w:ilvl w:val="0"/>
          <w:numId w:val="14"/>
        </w:numPr>
        <w:spacing w:line="360" w:lineRule="auto"/>
        <w:jc w:val="both"/>
        <w:rPr>
          <w:rFonts w:ascii="Arial" w:hAnsi="Arial" w:cs="Arial"/>
          <w:sz w:val="28"/>
          <w:szCs w:val="28"/>
        </w:rPr>
      </w:pPr>
      <w:r w:rsidRPr="005B0E2C">
        <w:rPr>
          <w:rFonts w:ascii="Arial" w:hAnsi="Arial" w:cs="Arial"/>
          <w:sz w:val="28"/>
          <w:szCs w:val="28"/>
        </w:rPr>
        <w:t xml:space="preserve">Requirements for </w:t>
      </w:r>
      <w:r w:rsidRPr="00ED368C">
        <w:rPr>
          <w:rFonts w:ascii="Arial" w:hAnsi="Arial" w:cs="Arial"/>
          <w:sz w:val="28"/>
          <w:szCs w:val="28"/>
        </w:rPr>
        <w:t>CDD</w:t>
      </w:r>
      <w:r w:rsidRPr="005B0E2C">
        <w:rPr>
          <w:rFonts w:ascii="Arial" w:hAnsi="Arial" w:cs="Arial"/>
          <w:sz w:val="28"/>
          <w:szCs w:val="28"/>
        </w:rPr>
        <w:t xml:space="preserve"> when</w:t>
      </w:r>
      <w:r>
        <w:rPr>
          <w:rFonts w:ascii="Arial" w:hAnsi="Arial" w:cs="Arial"/>
          <w:sz w:val="28"/>
          <w:szCs w:val="28"/>
        </w:rPr>
        <w:t xml:space="preserve"> establishing relationships remotely</w:t>
      </w:r>
    </w:p>
    <w:p w14:paraId="1C365175" w14:textId="40882B83" w:rsidR="00947201" w:rsidRPr="007B3F28" w:rsidRDefault="00947201" w:rsidP="003B475F">
      <w:pPr>
        <w:pStyle w:val="ListParagraph"/>
        <w:numPr>
          <w:ilvl w:val="0"/>
          <w:numId w:val="14"/>
        </w:numPr>
        <w:spacing w:line="360" w:lineRule="auto"/>
        <w:jc w:val="both"/>
        <w:rPr>
          <w:rFonts w:ascii="Arial" w:hAnsi="Arial" w:cs="Arial"/>
          <w:sz w:val="28"/>
          <w:szCs w:val="28"/>
        </w:rPr>
      </w:pPr>
      <w:r>
        <w:rPr>
          <w:rFonts w:ascii="Arial" w:hAnsi="Arial" w:cs="Arial"/>
          <w:sz w:val="28"/>
          <w:szCs w:val="28"/>
        </w:rPr>
        <w:t>Practical Guid</w:t>
      </w:r>
      <w:r w:rsidR="005B0E2C">
        <w:rPr>
          <w:rFonts w:ascii="Arial" w:hAnsi="Arial" w:cs="Arial"/>
          <w:sz w:val="28"/>
          <w:szCs w:val="28"/>
        </w:rPr>
        <w:t>ance</w:t>
      </w:r>
      <w:r>
        <w:rPr>
          <w:rFonts w:ascii="Arial" w:hAnsi="Arial" w:cs="Arial"/>
          <w:sz w:val="28"/>
          <w:szCs w:val="28"/>
        </w:rPr>
        <w:t xml:space="preserve"> for Organizing an AML/CFT System</w:t>
      </w:r>
    </w:p>
    <w:p w14:paraId="654F1D2C" w14:textId="22F15EC9" w:rsidR="00FF7725" w:rsidRPr="00CF6ADE" w:rsidRDefault="00FF7725" w:rsidP="00CF6ADE">
      <w:pPr>
        <w:pStyle w:val="ListParagraph"/>
        <w:numPr>
          <w:ilvl w:val="0"/>
          <w:numId w:val="14"/>
        </w:numPr>
        <w:spacing w:line="360" w:lineRule="auto"/>
        <w:jc w:val="both"/>
        <w:rPr>
          <w:rFonts w:ascii="Arial" w:hAnsi="Arial" w:cs="Arial"/>
          <w:sz w:val="28"/>
          <w:szCs w:val="28"/>
        </w:rPr>
      </w:pPr>
      <w:r w:rsidRPr="003B475F">
        <w:rPr>
          <w:rFonts w:ascii="Arial" w:hAnsi="Arial"/>
          <w:b/>
          <w:sz w:val="28"/>
          <w:szCs w:val="28"/>
        </w:rPr>
        <w:t>Conduct of Business Rules (COB)</w:t>
      </w:r>
      <w:r w:rsidRPr="00FD3232">
        <w:rPr>
          <w:rFonts w:ascii="Arial" w:hAnsi="Arial" w:cs="Arial"/>
          <w:sz w:val="28"/>
          <w:szCs w:val="28"/>
        </w:rPr>
        <w:t xml:space="preserve"> </w:t>
      </w:r>
      <w:r w:rsidR="00CF6ADE">
        <w:rPr>
          <w:rFonts w:ascii="Arial" w:hAnsi="Arial" w:cs="Arial"/>
          <w:sz w:val="28"/>
          <w:szCs w:val="28"/>
        </w:rPr>
        <w:t>–</w:t>
      </w:r>
      <w:r w:rsidRPr="00FD3232">
        <w:rPr>
          <w:rFonts w:ascii="Arial" w:hAnsi="Arial" w:cs="Arial"/>
          <w:sz w:val="28"/>
          <w:szCs w:val="28"/>
        </w:rPr>
        <w:t xml:space="preserve"> </w:t>
      </w:r>
      <w:r w:rsidRPr="00CF6ADE">
        <w:rPr>
          <w:rFonts w:ascii="Arial" w:hAnsi="Arial" w:cs="Arial"/>
          <w:sz w:val="28"/>
          <w:szCs w:val="28"/>
        </w:rPr>
        <w:t>contains provisions on the principles of working with clients, counterparties and other participants of the financial market.</w:t>
      </w:r>
    </w:p>
    <w:p w14:paraId="271F0F21" w14:textId="2092DA4A" w:rsidR="00FF7725" w:rsidRPr="007B3F28" w:rsidRDefault="00FF7725" w:rsidP="003B475F">
      <w:pPr>
        <w:pStyle w:val="ListParagraph"/>
        <w:numPr>
          <w:ilvl w:val="0"/>
          <w:numId w:val="14"/>
        </w:numPr>
        <w:spacing w:line="360" w:lineRule="auto"/>
        <w:jc w:val="both"/>
        <w:rPr>
          <w:rFonts w:ascii="Arial" w:hAnsi="Arial" w:cs="Arial"/>
          <w:sz w:val="28"/>
          <w:szCs w:val="28"/>
        </w:rPr>
      </w:pPr>
      <w:r w:rsidRPr="003B475F">
        <w:rPr>
          <w:rFonts w:ascii="Arial" w:hAnsi="Arial"/>
          <w:b/>
          <w:sz w:val="28"/>
          <w:szCs w:val="28"/>
        </w:rPr>
        <w:t>FINTECH Rules</w:t>
      </w:r>
      <w:r w:rsidRPr="00FD3232">
        <w:rPr>
          <w:rFonts w:ascii="Arial" w:hAnsi="Arial" w:cs="Arial"/>
          <w:sz w:val="28"/>
          <w:szCs w:val="28"/>
        </w:rPr>
        <w:t xml:space="preserve"> – cont</w:t>
      </w:r>
      <w:r w:rsidRPr="00ED368C">
        <w:rPr>
          <w:rFonts w:ascii="Arial" w:hAnsi="Arial" w:cs="Arial"/>
          <w:sz w:val="28"/>
          <w:szCs w:val="28"/>
        </w:rPr>
        <w:t>ains provisions for conducting activities in the regulatory sandbox of the</w:t>
      </w:r>
      <w:r w:rsidRPr="00FD3232">
        <w:rPr>
          <w:rFonts w:ascii="Arial" w:hAnsi="Arial" w:cs="Arial"/>
          <w:sz w:val="28"/>
          <w:szCs w:val="28"/>
        </w:rPr>
        <w:t xml:space="preserve"> </w:t>
      </w:r>
      <w:r w:rsidR="00CF6ADE">
        <w:rPr>
          <w:rFonts w:ascii="Arial" w:hAnsi="Arial" w:cs="Arial"/>
          <w:sz w:val="28"/>
          <w:szCs w:val="28"/>
        </w:rPr>
        <w:t>AFSA</w:t>
      </w:r>
      <w:r w:rsidRPr="00FD3232">
        <w:rPr>
          <w:rFonts w:ascii="Arial" w:hAnsi="Arial" w:cs="Arial"/>
          <w:sz w:val="28"/>
          <w:szCs w:val="28"/>
        </w:rPr>
        <w:t xml:space="preserve">, in which the participant, after registering and obtaining a license, tests new financial technologies or business models in a favorable regulatory environment under the supervision of the </w:t>
      </w:r>
      <w:r w:rsidR="00CF6ADE">
        <w:rPr>
          <w:rFonts w:ascii="Arial" w:hAnsi="Arial" w:cs="Arial"/>
          <w:sz w:val="28"/>
          <w:szCs w:val="28"/>
        </w:rPr>
        <w:t>AFSA</w:t>
      </w:r>
      <w:r w:rsidRPr="00FD3232">
        <w:rPr>
          <w:rFonts w:ascii="Arial" w:hAnsi="Arial" w:cs="Arial"/>
          <w:sz w:val="28"/>
          <w:szCs w:val="28"/>
        </w:rPr>
        <w:t>.</w:t>
      </w:r>
    </w:p>
    <w:p w14:paraId="2DB980F7" w14:textId="35E58785" w:rsidR="00641962" w:rsidRPr="007B3F28" w:rsidRDefault="00FF7725" w:rsidP="003B475F">
      <w:pPr>
        <w:pStyle w:val="ListParagraph"/>
        <w:numPr>
          <w:ilvl w:val="0"/>
          <w:numId w:val="14"/>
        </w:numPr>
        <w:spacing w:line="360" w:lineRule="auto"/>
        <w:jc w:val="both"/>
        <w:rPr>
          <w:rFonts w:ascii="Arial" w:hAnsi="Arial" w:cs="Arial"/>
          <w:sz w:val="28"/>
          <w:szCs w:val="28"/>
        </w:rPr>
      </w:pPr>
      <w:r w:rsidRPr="003B475F">
        <w:rPr>
          <w:rFonts w:ascii="Arial" w:hAnsi="Arial"/>
          <w:b/>
          <w:sz w:val="28"/>
          <w:szCs w:val="28"/>
        </w:rPr>
        <w:t>The AIFC Rules on Digital Asset Activities</w:t>
      </w:r>
      <w:r w:rsidRPr="00FD3232">
        <w:rPr>
          <w:rFonts w:ascii="Arial" w:hAnsi="Arial" w:cs="Arial"/>
          <w:sz w:val="28"/>
          <w:szCs w:val="28"/>
        </w:rPr>
        <w:t xml:space="preserve"> establish the requirements and procedure for </w:t>
      </w:r>
      <w:proofErr w:type="spellStart"/>
      <w:r w:rsidRPr="00FD3232">
        <w:rPr>
          <w:rFonts w:ascii="Arial" w:hAnsi="Arial" w:cs="Arial"/>
          <w:sz w:val="28"/>
          <w:szCs w:val="28"/>
        </w:rPr>
        <w:t>cryptoexchanges</w:t>
      </w:r>
      <w:proofErr w:type="spellEnd"/>
      <w:r w:rsidRPr="00FD3232">
        <w:rPr>
          <w:rFonts w:ascii="Arial" w:hAnsi="Arial" w:cs="Arial"/>
          <w:sz w:val="28"/>
          <w:szCs w:val="28"/>
        </w:rPr>
        <w:t xml:space="preserve"> when working with </w:t>
      </w:r>
      <w:r w:rsidR="00CF6ADE">
        <w:rPr>
          <w:rFonts w:ascii="Arial" w:hAnsi="Arial" w:cs="Arial"/>
          <w:sz w:val="28"/>
          <w:szCs w:val="28"/>
        </w:rPr>
        <w:t>DAs</w:t>
      </w:r>
      <w:r w:rsidRPr="00FD3232">
        <w:rPr>
          <w:rFonts w:ascii="Arial" w:hAnsi="Arial" w:cs="Arial"/>
          <w:sz w:val="28"/>
          <w:szCs w:val="28"/>
        </w:rPr>
        <w:t>.</w:t>
      </w:r>
    </w:p>
    <w:p w14:paraId="4A3D0099" w14:textId="2EB799F9" w:rsidR="00383833" w:rsidRPr="00FD3232" w:rsidRDefault="00383833" w:rsidP="003B475F">
      <w:pPr>
        <w:pStyle w:val="ListParagraph"/>
        <w:numPr>
          <w:ilvl w:val="0"/>
          <w:numId w:val="6"/>
        </w:numPr>
        <w:spacing w:line="360" w:lineRule="auto"/>
        <w:ind w:left="0" w:firstLine="0"/>
        <w:jc w:val="both"/>
        <w:outlineLvl w:val="1"/>
        <w:rPr>
          <w:rFonts w:ascii="Arial" w:hAnsi="Arial" w:cs="Arial"/>
          <w:b/>
          <w:bCs/>
          <w:sz w:val="28"/>
          <w:szCs w:val="28"/>
          <w:lang w:val="ru-RU"/>
        </w:rPr>
      </w:pPr>
      <w:bookmarkStart w:id="23" w:name="_Toc170314433"/>
      <w:r w:rsidRPr="00FD3232">
        <w:rPr>
          <w:rFonts w:ascii="Arial" w:hAnsi="Arial" w:cs="Arial"/>
          <w:b/>
          <w:bCs/>
          <w:sz w:val="28"/>
          <w:szCs w:val="28"/>
        </w:rPr>
        <w:t>Registration and Licensing Regulations</w:t>
      </w:r>
      <w:bookmarkEnd w:id="23"/>
    </w:p>
    <w:p w14:paraId="5C0BADAB" w14:textId="55D59D40" w:rsidR="00F150E4" w:rsidRPr="007B3F28" w:rsidRDefault="00B213C5" w:rsidP="003B475F">
      <w:pPr>
        <w:pStyle w:val="ListParagraph"/>
        <w:spacing w:line="360" w:lineRule="auto"/>
        <w:ind w:left="0"/>
        <w:jc w:val="both"/>
        <w:rPr>
          <w:rFonts w:ascii="Arial" w:hAnsi="Arial" w:cs="Arial"/>
          <w:sz w:val="28"/>
          <w:szCs w:val="28"/>
        </w:rPr>
      </w:pPr>
      <w:r w:rsidRPr="7AD5C25C">
        <w:rPr>
          <w:rFonts w:ascii="Arial" w:hAnsi="Arial" w:cs="Arial"/>
          <w:sz w:val="28"/>
          <w:szCs w:val="28"/>
        </w:rPr>
        <w:t xml:space="preserve">In addition to the existing legal regulation, the requirement to obtain registration and an appropriate license from the </w:t>
      </w:r>
      <w:r w:rsidR="00571D5C">
        <w:rPr>
          <w:rFonts w:ascii="Arial" w:hAnsi="Arial" w:cs="Arial"/>
          <w:sz w:val="28"/>
          <w:szCs w:val="28"/>
        </w:rPr>
        <w:t>AFSA</w:t>
      </w:r>
      <w:r w:rsidRPr="7AD5C25C">
        <w:rPr>
          <w:rFonts w:ascii="Arial" w:hAnsi="Arial" w:cs="Arial"/>
          <w:sz w:val="28"/>
          <w:szCs w:val="28"/>
        </w:rPr>
        <w:t xml:space="preserve"> </w:t>
      </w:r>
      <w:proofErr w:type="gramStart"/>
      <w:r w:rsidRPr="7AD5C25C">
        <w:rPr>
          <w:rFonts w:ascii="Arial" w:hAnsi="Arial" w:cs="Arial"/>
          <w:sz w:val="28"/>
          <w:szCs w:val="28"/>
        </w:rPr>
        <w:t>in order to</w:t>
      </w:r>
      <w:proofErr w:type="gramEnd"/>
      <w:r w:rsidRPr="7AD5C25C">
        <w:rPr>
          <w:rFonts w:ascii="Arial" w:hAnsi="Arial" w:cs="Arial"/>
          <w:sz w:val="28"/>
          <w:szCs w:val="28"/>
        </w:rPr>
        <w:t xml:space="preserve"> legally act as a </w:t>
      </w:r>
      <w:r w:rsidR="00571D5C">
        <w:rPr>
          <w:rFonts w:ascii="Arial" w:hAnsi="Arial" w:cs="Arial"/>
          <w:sz w:val="28"/>
          <w:szCs w:val="28"/>
        </w:rPr>
        <w:t>DASP</w:t>
      </w:r>
      <w:r w:rsidRPr="7AD5C25C">
        <w:rPr>
          <w:rFonts w:ascii="Arial" w:hAnsi="Arial" w:cs="Arial"/>
          <w:sz w:val="28"/>
          <w:szCs w:val="28"/>
        </w:rPr>
        <w:t xml:space="preserve"> is a separate effective threat mitigation measure. The legal regulation of the AIFC establishes administrative and civil sanctions for conducting activities without registration and obtaining a license. </w:t>
      </w:r>
    </w:p>
    <w:p w14:paraId="00A3D97E" w14:textId="67B760FC" w:rsidR="00641962" w:rsidRPr="007B3F28" w:rsidRDefault="6ED8549B" w:rsidP="003B475F">
      <w:pPr>
        <w:pStyle w:val="ListParagraph"/>
        <w:spacing w:line="360" w:lineRule="auto"/>
        <w:ind w:left="0"/>
        <w:jc w:val="both"/>
        <w:rPr>
          <w:rFonts w:ascii="Arial" w:hAnsi="Arial" w:cs="Arial"/>
          <w:sz w:val="28"/>
          <w:szCs w:val="28"/>
        </w:rPr>
      </w:pPr>
      <w:r w:rsidRPr="68A3C7B1">
        <w:rPr>
          <w:rFonts w:ascii="Arial" w:hAnsi="Arial" w:cs="Arial"/>
          <w:sz w:val="28"/>
          <w:szCs w:val="28"/>
        </w:rPr>
        <w:t xml:space="preserve">In addition to licensing procedures, the </w:t>
      </w:r>
      <w:r w:rsidR="30FCE90E" w:rsidRPr="68A3C7B1">
        <w:rPr>
          <w:rFonts w:ascii="Arial" w:hAnsi="Arial" w:cs="Arial"/>
          <w:sz w:val="28"/>
          <w:szCs w:val="28"/>
        </w:rPr>
        <w:t>AFSA</w:t>
      </w:r>
      <w:r w:rsidRPr="68A3C7B1">
        <w:rPr>
          <w:rFonts w:ascii="Arial" w:hAnsi="Arial" w:cs="Arial"/>
          <w:sz w:val="28"/>
          <w:szCs w:val="28"/>
        </w:rPr>
        <w:t xml:space="preserve"> carries out activities to identify unlicensed </w:t>
      </w:r>
      <w:r w:rsidR="30FCE90E" w:rsidRPr="68A3C7B1">
        <w:rPr>
          <w:rFonts w:ascii="Arial" w:hAnsi="Arial" w:cs="Arial"/>
          <w:sz w:val="28"/>
          <w:szCs w:val="28"/>
        </w:rPr>
        <w:t>DASP</w:t>
      </w:r>
      <w:r w:rsidRPr="68A3C7B1">
        <w:rPr>
          <w:rFonts w:ascii="Arial" w:hAnsi="Arial" w:cs="Arial"/>
          <w:sz w:val="28"/>
          <w:szCs w:val="28"/>
        </w:rPr>
        <w:t xml:space="preserve">s. </w:t>
      </w:r>
      <w:r w:rsidR="30FCE90E" w:rsidRPr="68A3C7B1">
        <w:rPr>
          <w:rFonts w:ascii="Arial" w:hAnsi="Arial" w:cs="Arial"/>
          <w:sz w:val="28"/>
          <w:szCs w:val="28"/>
        </w:rPr>
        <w:t>A</w:t>
      </w:r>
      <w:r w:rsidRPr="68A3C7B1">
        <w:rPr>
          <w:rFonts w:ascii="Arial" w:hAnsi="Arial" w:cs="Arial"/>
          <w:sz w:val="28"/>
          <w:szCs w:val="28"/>
        </w:rPr>
        <w:t xml:space="preserve">s of November 2023, the </w:t>
      </w:r>
      <w:r w:rsidR="30FCE90E" w:rsidRPr="68A3C7B1">
        <w:rPr>
          <w:rFonts w:ascii="Arial" w:hAnsi="Arial"/>
          <w:sz w:val="28"/>
          <w:szCs w:val="28"/>
        </w:rPr>
        <w:t>AFSA</w:t>
      </w:r>
      <w:r w:rsidR="3208A6C2" w:rsidRPr="68A3C7B1">
        <w:rPr>
          <w:rFonts w:ascii="Arial" w:hAnsi="Arial" w:cs="Arial"/>
          <w:sz w:val="28"/>
          <w:szCs w:val="28"/>
        </w:rPr>
        <w:t xml:space="preserve"> sent 543 requests to </w:t>
      </w:r>
      <w:r w:rsidR="3208A6C2" w:rsidRPr="00ED368C">
        <w:rPr>
          <w:rFonts w:ascii="Arial" w:hAnsi="Arial" w:cs="Arial"/>
          <w:sz w:val="28"/>
          <w:szCs w:val="28"/>
        </w:rPr>
        <w:lastRenderedPageBreak/>
        <w:t xml:space="preserve">state authorities to block the websites of identified unlicensed </w:t>
      </w:r>
      <w:proofErr w:type="spellStart"/>
      <w:r w:rsidR="3208A6C2" w:rsidRPr="00ED368C">
        <w:rPr>
          <w:rFonts w:ascii="Arial" w:hAnsi="Arial" w:cs="Arial"/>
          <w:sz w:val="28"/>
          <w:szCs w:val="28"/>
        </w:rPr>
        <w:t>cryptoexchanges</w:t>
      </w:r>
      <w:proofErr w:type="spellEnd"/>
      <w:r w:rsidR="3208A6C2" w:rsidRPr="00ED368C">
        <w:rPr>
          <w:rFonts w:ascii="Arial" w:hAnsi="Arial" w:cs="Arial"/>
          <w:sz w:val="28"/>
          <w:szCs w:val="28"/>
        </w:rPr>
        <w:t>.</w:t>
      </w:r>
      <w:r w:rsidR="3208A6C2" w:rsidRPr="68A3C7B1">
        <w:rPr>
          <w:rFonts w:ascii="Arial" w:hAnsi="Arial" w:cs="Arial"/>
          <w:sz w:val="28"/>
          <w:szCs w:val="28"/>
        </w:rPr>
        <w:t xml:space="preserve"> </w:t>
      </w:r>
    </w:p>
    <w:p w14:paraId="21E2094D" w14:textId="68D5B22D" w:rsidR="00FA444D" w:rsidRPr="007B3F28" w:rsidRDefault="00F55E28" w:rsidP="003B475F">
      <w:pPr>
        <w:pStyle w:val="ListParagraph"/>
        <w:numPr>
          <w:ilvl w:val="0"/>
          <w:numId w:val="6"/>
        </w:numPr>
        <w:spacing w:line="360" w:lineRule="auto"/>
        <w:ind w:left="426" w:hanging="426"/>
        <w:jc w:val="both"/>
        <w:outlineLvl w:val="1"/>
        <w:rPr>
          <w:rFonts w:ascii="Arial" w:hAnsi="Arial" w:cs="Arial"/>
          <w:b/>
          <w:bCs/>
          <w:sz w:val="28"/>
          <w:szCs w:val="28"/>
        </w:rPr>
      </w:pPr>
      <w:bookmarkStart w:id="24" w:name="_Toc170314434"/>
      <w:r w:rsidRPr="000F1776">
        <w:rPr>
          <w:rFonts w:ascii="Arial" w:hAnsi="Arial" w:cs="Arial"/>
          <w:b/>
          <w:bCs/>
          <w:sz w:val="28"/>
          <w:szCs w:val="28"/>
        </w:rPr>
        <w:t>AML/CFT regime (</w:t>
      </w:r>
      <w:r w:rsidR="00580CF6">
        <w:rPr>
          <w:rFonts w:ascii="Arial" w:hAnsi="Arial" w:cs="Arial"/>
          <w:b/>
          <w:bCs/>
          <w:sz w:val="28"/>
          <w:szCs w:val="28"/>
        </w:rPr>
        <w:t>AFSA</w:t>
      </w:r>
      <w:r w:rsidRPr="000F1776">
        <w:rPr>
          <w:rFonts w:ascii="Arial" w:hAnsi="Arial" w:cs="Arial"/>
          <w:b/>
          <w:bCs/>
          <w:sz w:val="28"/>
          <w:szCs w:val="28"/>
        </w:rPr>
        <w:t xml:space="preserve"> procedures)</w:t>
      </w:r>
      <w:bookmarkEnd w:id="24"/>
    </w:p>
    <w:p w14:paraId="786869A3" w14:textId="77777777" w:rsidR="00F55E28" w:rsidRPr="007B3F28" w:rsidRDefault="00F55E28" w:rsidP="003B475F">
      <w:pPr>
        <w:pStyle w:val="ListParagraph"/>
        <w:spacing w:line="360" w:lineRule="auto"/>
        <w:ind w:left="0"/>
        <w:jc w:val="both"/>
        <w:rPr>
          <w:rFonts w:ascii="Arial" w:hAnsi="Arial" w:cs="Arial"/>
          <w:sz w:val="28"/>
          <w:szCs w:val="28"/>
        </w:rPr>
      </w:pPr>
      <w:r w:rsidRPr="00F55E28">
        <w:rPr>
          <w:rFonts w:ascii="Arial" w:hAnsi="Arial" w:cs="Arial"/>
          <w:sz w:val="28"/>
          <w:szCs w:val="28"/>
        </w:rPr>
        <w:t xml:space="preserve">The AIFC AML/CFT regime is a risk-based supervisory and regulatory model based on the FATF Guidance and Recommendations. </w:t>
      </w:r>
    </w:p>
    <w:p w14:paraId="58A99676" w14:textId="000B1FEC" w:rsidR="00F55E28" w:rsidRPr="007B3F28" w:rsidRDefault="00F55E28" w:rsidP="003B475F">
      <w:pPr>
        <w:pStyle w:val="ListParagraph"/>
        <w:spacing w:line="360" w:lineRule="auto"/>
        <w:ind w:left="0"/>
        <w:jc w:val="both"/>
        <w:rPr>
          <w:rFonts w:ascii="Arial" w:hAnsi="Arial" w:cs="Arial"/>
          <w:sz w:val="28"/>
          <w:szCs w:val="28"/>
        </w:rPr>
      </w:pPr>
      <w:r w:rsidRPr="00F55E28">
        <w:rPr>
          <w:rFonts w:ascii="Arial" w:hAnsi="Arial" w:cs="Arial"/>
          <w:sz w:val="28"/>
          <w:szCs w:val="28"/>
        </w:rPr>
        <w:t>The A</w:t>
      </w:r>
      <w:r w:rsidR="00571D5C">
        <w:rPr>
          <w:rFonts w:ascii="Arial" w:hAnsi="Arial" w:cs="Arial"/>
          <w:sz w:val="28"/>
          <w:szCs w:val="28"/>
        </w:rPr>
        <w:t>FSA</w:t>
      </w:r>
      <w:r w:rsidRPr="00F55E28">
        <w:rPr>
          <w:rFonts w:ascii="Arial" w:hAnsi="Arial" w:cs="Arial"/>
          <w:sz w:val="28"/>
          <w:szCs w:val="28"/>
        </w:rPr>
        <w:t xml:space="preserve"> has implemented all three lines of defense: </w:t>
      </w:r>
    </w:p>
    <w:p w14:paraId="7CFE1DA2" w14:textId="3F93EEA0" w:rsidR="00F55E28" w:rsidRPr="007B3F28" w:rsidRDefault="001F6B94" w:rsidP="003B475F">
      <w:pPr>
        <w:pStyle w:val="ListParagraph"/>
        <w:spacing w:line="360" w:lineRule="auto"/>
        <w:ind w:left="0"/>
        <w:jc w:val="both"/>
        <w:rPr>
          <w:rFonts w:ascii="Arial" w:hAnsi="Arial" w:cs="Arial"/>
          <w:sz w:val="28"/>
          <w:szCs w:val="28"/>
        </w:rPr>
      </w:pPr>
      <w:r w:rsidRPr="008036C9">
        <w:rPr>
          <w:rFonts w:ascii="Arial" w:hAnsi="Arial" w:cs="Arial"/>
          <w:b/>
          <w:bCs/>
          <w:sz w:val="28"/>
          <w:szCs w:val="28"/>
        </w:rPr>
        <w:t>1.</w:t>
      </w:r>
      <w:r w:rsidR="00F55E28" w:rsidRPr="00F55E28">
        <w:rPr>
          <w:rFonts w:ascii="Arial" w:hAnsi="Arial" w:cs="Arial"/>
          <w:sz w:val="28"/>
          <w:szCs w:val="28"/>
        </w:rPr>
        <w:t xml:space="preserve"> At the stage of registration and licensing of companies, the disclosure of the ownership structure and the establishment of the ultimate beneficial ownership are ensured, checks are carried out for the professional compliance and suitability of both owners and key managers, as well as mandatory due diligence of companies and their owners; (Section 3, Chapters 1-2 (FSFR); Part 1, Clauses 1.1.4 and 1.1.5. (in relation to regulated entities) and Part 1.2., Clause 1.2.3. and 1.2.4. (in relation to authorized market institutions) of the General Rules. There is also a due diligence procedure for a potential Participant at the application stage (Section 6 of the General Rules), prior to registration.</w:t>
      </w:r>
    </w:p>
    <w:p w14:paraId="3BC3B7DA" w14:textId="0BAE7D06" w:rsidR="00F55E28" w:rsidRPr="007B3F28" w:rsidRDefault="405EAFF0" w:rsidP="003B475F">
      <w:pPr>
        <w:pStyle w:val="ListParagraph"/>
        <w:spacing w:line="360" w:lineRule="auto"/>
        <w:ind w:left="0"/>
        <w:jc w:val="both"/>
        <w:rPr>
          <w:rFonts w:ascii="Arial" w:hAnsi="Arial" w:cs="Arial"/>
          <w:sz w:val="28"/>
          <w:szCs w:val="28"/>
        </w:rPr>
      </w:pPr>
      <w:r w:rsidRPr="00ED368C">
        <w:rPr>
          <w:rFonts w:ascii="Arial" w:hAnsi="Arial" w:cs="Arial"/>
          <w:b/>
          <w:bCs/>
          <w:sz w:val="28"/>
          <w:szCs w:val="28"/>
        </w:rPr>
        <w:t>1-1.</w:t>
      </w:r>
      <w:r w:rsidR="1F5E48B5" w:rsidRPr="00ED368C">
        <w:rPr>
          <w:rFonts w:ascii="Arial" w:hAnsi="Arial" w:cs="Arial"/>
          <w:sz w:val="28"/>
          <w:szCs w:val="28"/>
        </w:rPr>
        <w:t xml:space="preserve"> After </w:t>
      </w:r>
      <w:r w:rsidR="6CDE20FE" w:rsidRPr="00ED368C">
        <w:rPr>
          <w:rFonts w:ascii="Arial" w:hAnsi="Arial" w:cs="Arial"/>
          <w:sz w:val="28"/>
          <w:szCs w:val="28"/>
        </w:rPr>
        <w:t xml:space="preserve">completing the </w:t>
      </w:r>
      <w:r w:rsidR="1F5E48B5" w:rsidRPr="00ED368C">
        <w:rPr>
          <w:rFonts w:ascii="Arial" w:hAnsi="Arial" w:cs="Arial"/>
          <w:sz w:val="28"/>
          <w:szCs w:val="28"/>
        </w:rPr>
        <w:t>registration and licensing</w:t>
      </w:r>
      <w:r w:rsidR="12944CEB" w:rsidRPr="00ED368C">
        <w:rPr>
          <w:rFonts w:ascii="Arial" w:hAnsi="Arial" w:cs="Arial"/>
          <w:sz w:val="28"/>
          <w:szCs w:val="28"/>
        </w:rPr>
        <w:t xml:space="preserve"> stages</w:t>
      </w:r>
      <w:r w:rsidR="1F5E48B5" w:rsidRPr="00ED368C">
        <w:rPr>
          <w:rFonts w:ascii="Arial" w:hAnsi="Arial" w:cs="Arial"/>
          <w:sz w:val="28"/>
          <w:szCs w:val="28"/>
        </w:rPr>
        <w:t>, companies</w:t>
      </w:r>
      <w:r w:rsidR="7FC7F1B3" w:rsidRPr="00ED368C">
        <w:rPr>
          <w:rFonts w:ascii="Arial" w:hAnsi="Arial" w:cs="Arial"/>
          <w:sz w:val="28"/>
          <w:szCs w:val="28"/>
        </w:rPr>
        <w:t xml:space="preserve"> are assessed and assigned</w:t>
      </w:r>
      <w:r w:rsidR="1F5E48B5" w:rsidRPr="00ED368C">
        <w:rPr>
          <w:rFonts w:ascii="Arial" w:hAnsi="Arial" w:cs="Arial"/>
          <w:sz w:val="28"/>
          <w:szCs w:val="28"/>
        </w:rPr>
        <w:t xml:space="preserve"> </w:t>
      </w:r>
      <w:r w:rsidR="2682FAA7" w:rsidRPr="00ED368C">
        <w:rPr>
          <w:rFonts w:ascii="Arial" w:hAnsi="Arial" w:cs="Arial"/>
          <w:sz w:val="28"/>
          <w:szCs w:val="28"/>
        </w:rPr>
        <w:t xml:space="preserve">ratings </w:t>
      </w:r>
      <w:r w:rsidR="1F5E48B5" w:rsidRPr="00ED368C">
        <w:rPr>
          <w:rFonts w:ascii="Arial" w:hAnsi="Arial" w:cs="Arial"/>
          <w:sz w:val="28"/>
          <w:szCs w:val="28"/>
        </w:rPr>
        <w:t>based on risk levels and are assigned the appropriate Risk Mitigation Program. Compliance with all the requirements and recommendations of this Program is a prerequisite for starting activities on the AIFC platform; (</w:t>
      </w:r>
      <w:r w:rsidR="008A8E5A" w:rsidRPr="00ED368C">
        <w:rPr>
          <w:rFonts w:ascii="Arial" w:hAnsi="Arial" w:cs="Arial"/>
          <w:sz w:val="28"/>
          <w:szCs w:val="28"/>
        </w:rPr>
        <w:t xml:space="preserve">as per </w:t>
      </w:r>
      <w:r w:rsidR="1F5E48B5" w:rsidRPr="00ED368C">
        <w:rPr>
          <w:rFonts w:ascii="Arial" w:hAnsi="Arial" w:cs="Arial"/>
          <w:sz w:val="28"/>
          <w:szCs w:val="28"/>
        </w:rPr>
        <w:t>clauses 5.5.3, 5.8. of the Procedures for the Supervision of the Fintech Lab</w:t>
      </w:r>
      <w:r w:rsidR="30FCE90E" w:rsidRPr="00ED368C">
        <w:rPr>
          <w:rFonts w:ascii="Arial" w:hAnsi="Arial" w:cs="Arial"/>
          <w:sz w:val="28"/>
          <w:szCs w:val="28"/>
        </w:rPr>
        <w:t xml:space="preserve"> </w:t>
      </w:r>
      <w:r w:rsidR="1F5E48B5" w:rsidRPr="00ED368C">
        <w:rPr>
          <w:rFonts w:ascii="Arial" w:hAnsi="Arial" w:cs="Arial"/>
          <w:sz w:val="28"/>
          <w:szCs w:val="28"/>
        </w:rPr>
        <w:t>of the A</w:t>
      </w:r>
      <w:r w:rsidR="30FCE90E" w:rsidRPr="00ED368C">
        <w:rPr>
          <w:rFonts w:ascii="Arial" w:hAnsi="Arial" w:cs="Arial"/>
          <w:sz w:val="28"/>
          <w:szCs w:val="28"/>
        </w:rPr>
        <w:t>FSA</w:t>
      </w:r>
      <w:r w:rsidR="1F5E48B5" w:rsidRPr="00ED368C">
        <w:rPr>
          <w:rFonts w:ascii="Arial" w:hAnsi="Arial" w:cs="Arial"/>
          <w:sz w:val="28"/>
          <w:szCs w:val="28"/>
        </w:rPr>
        <w:t xml:space="preserve"> dated April 23, 2020</w:t>
      </w:r>
      <w:r w:rsidR="30FCE90E" w:rsidRPr="00ED368C">
        <w:rPr>
          <w:rFonts w:ascii="Arial" w:hAnsi="Arial" w:cs="Arial"/>
          <w:sz w:val="28"/>
          <w:szCs w:val="28"/>
        </w:rPr>
        <w:t>)</w:t>
      </w:r>
      <w:r w:rsidR="1F5E48B5" w:rsidRPr="00ED368C">
        <w:rPr>
          <w:rFonts w:ascii="Arial" w:hAnsi="Arial" w:cs="Arial"/>
          <w:sz w:val="28"/>
          <w:szCs w:val="28"/>
        </w:rPr>
        <w:t>.</w:t>
      </w:r>
      <w:r w:rsidR="1F5E48B5" w:rsidRPr="68A3C7B1">
        <w:rPr>
          <w:rFonts w:ascii="Arial" w:hAnsi="Arial" w:cs="Arial"/>
          <w:sz w:val="28"/>
          <w:szCs w:val="28"/>
        </w:rPr>
        <w:t xml:space="preserve"> </w:t>
      </w:r>
    </w:p>
    <w:p w14:paraId="5E710487" w14:textId="6C211D5B" w:rsidR="00F55E28" w:rsidRPr="007B3F28" w:rsidRDefault="1F5E48B5" w:rsidP="003B475F">
      <w:pPr>
        <w:pStyle w:val="ListParagraph"/>
        <w:spacing w:line="360" w:lineRule="auto"/>
        <w:ind w:left="0"/>
        <w:jc w:val="both"/>
        <w:rPr>
          <w:rFonts w:ascii="Arial" w:hAnsi="Arial" w:cs="Arial"/>
          <w:sz w:val="28"/>
          <w:szCs w:val="28"/>
        </w:rPr>
      </w:pPr>
      <w:r w:rsidRPr="68A3C7B1">
        <w:rPr>
          <w:rFonts w:ascii="Arial" w:hAnsi="Arial" w:cs="Arial"/>
          <w:b/>
          <w:bCs/>
          <w:sz w:val="28"/>
          <w:szCs w:val="28"/>
        </w:rPr>
        <w:t>1-2.</w:t>
      </w:r>
      <w:r w:rsidRPr="68A3C7B1">
        <w:rPr>
          <w:rFonts w:ascii="Arial" w:hAnsi="Arial" w:cs="Arial"/>
          <w:sz w:val="28"/>
          <w:szCs w:val="28"/>
        </w:rPr>
        <w:t xml:space="preserve"> </w:t>
      </w:r>
      <w:r w:rsidR="1AD56819" w:rsidRPr="68A3C7B1">
        <w:rPr>
          <w:rFonts w:ascii="Arial" w:hAnsi="Arial" w:cs="Arial"/>
          <w:sz w:val="28"/>
          <w:szCs w:val="28"/>
        </w:rPr>
        <w:t xml:space="preserve">During the regulation and supervision stage, ongoing monitoring of companies' activities is conducted through reporting (remote supervision), scheduled and unscheduled on-site inspections, as well as "thematic" inspections focused on specific areas of activity. One of the primary supervisory priorities is to mitigate AML/CFT risks </w:t>
      </w:r>
      <w:r w:rsidRPr="68A3C7B1">
        <w:rPr>
          <w:rFonts w:ascii="Arial" w:hAnsi="Arial" w:cs="Arial"/>
          <w:sz w:val="28"/>
          <w:szCs w:val="28"/>
        </w:rPr>
        <w:t>(</w:t>
      </w:r>
      <w:r w:rsidR="5A8E0F68" w:rsidRPr="68A3C7B1">
        <w:rPr>
          <w:rFonts w:ascii="Arial" w:hAnsi="Arial" w:cs="Arial"/>
          <w:sz w:val="28"/>
          <w:szCs w:val="28"/>
        </w:rPr>
        <w:t xml:space="preserve">as outlined in </w:t>
      </w:r>
      <w:r w:rsidRPr="68A3C7B1">
        <w:rPr>
          <w:rFonts w:ascii="Arial" w:hAnsi="Arial" w:cs="Arial"/>
          <w:sz w:val="28"/>
          <w:szCs w:val="28"/>
        </w:rPr>
        <w:t>clause 3.3 of the Fintech Lab Supervision Procedures)</w:t>
      </w:r>
    </w:p>
    <w:p w14:paraId="30C7A32F" w14:textId="164AB479" w:rsidR="00F55E28" w:rsidRPr="007B3F28" w:rsidRDefault="1F5E48B5" w:rsidP="003B475F">
      <w:pPr>
        <w:pStyle w:val="ListParagraph"/>
        <w:spacing w:line="360" w:lineRule="auto"/>
        <w:ind w:left="0"/>
        <w:jc w:val="both"/>
        <w:rPr>
          <w:rFonts w:ascii="Arial" w:hAnsi="Arial" w:cs="Arial"/>
          <w:sz w:val="28"/>
          <w:szCs w:val="28"/>
        </w:rPr>
      </w:pPr>
      <w:r w:rsidRPr="68A3C7B1">
        <w:rPr>
          <w:rFonts w:ascii="Arial" w:hAnsi="Arial" w:cs="Arial"/>
          <w:b/>
          <w:bCs/>
          <w:sz w:val="28"/>
          <w:szCs w:val="28"/>
        </w:rPr>
        <w:t>2.</w:t>
      </w:r>
      <w:r w:rsidRPr="68A3C7B1">
        <w:rPr>
          <w:rFonts w:ascii="Arial" w:hAnsi="Arial" w:cs="Arial"/>
          <w:sz w:val="28"/>
          <w:szCs w:val="28"/>
        </w:rPr>
        <w:t xml:space="preserve"> As part of the second line of defense, the AML/CFT Department of the A</w:t>
      </w:r>
      <w:r w:rsidR="30FCE90E" w:rsidRPr="68A3C7B1">
        <w:rPr>
          <w:rFonts w:ascii="Arial" w:hAnsi="Arial" w:cs="Arial"/>
          <w:sz w:val="28"/>
          <w:szCs w:val="28"/>
        </w:rPr>
        <w:t xml:space="preserve">FSA </w:t>
      </w:r>
      <w:r w:rsidRPr="68A3C7B1">
        <w:rPr>
          <w:rFonts w:ascii="Arial" w:hAnsi="Arial" w:cs="Arial"/>
          <w:sz w:val="28"/>
          <w:szCs w:val="28"/>
        </w:rPr>
        <w:t xml:space="preserve">provides additional expertise, support and monitoring, coordination of </w:t>
      </w:r>
      <w:r w:rsidRPr="68A3C7B1">
        <w:rPr>
          <w:rFonts w:ascii="Arial" w:hAnsi="Arial" w:cs="Arial"/>
          <w:sz w:val="28"/>
          <w:szCs w:val="28"/>
        </w:rPr>
        <w:lastRenderedPageBreak/>
        <w:t xml:space="preserve">units at any stage, focusing on ML/TF risk management issues, </w:t>
      </w:r>
      <w:proofErr w:type="gramStart"/>
      <w:r w:rsidRPr="68A3C7B1">
        <w:rPr>
          <w:rFonts w:ascii="Arial" w:hAnsi="Arial" w:cs="Arial"/>
          <w:sz w:val="28"/>
          <w:szCs w:val="28"/>
        </w:rPr>
        <w:t>and also</w:t>
      </w:r>
      <w:proofErr w:type="gramEnd"/>
      <w:r w:rsidRPr="68A3C7B1">
        <w:rPr>
          <w:rFonts w:ascii="Arial" w:hAnsi="Arial" w:cs="Arial"/>
          <w:sz w:val="28"/>
          <w:szCs w:val="28"/>
        </w:rPr>
        <w:t xml:space="preserve"> acts as a coordinator for interaction with the authorized body for financial monitoring. At this stage, enhanced due diligence measures are applied for companies and their beneficiaries, "thematic" audits of companies are carried out, monitoring, as well as identifying typologies of ML/TF schemes. The AML/CFT Department of the </w:t>
      </w:r>
      <w:r w:rsidR="30FCE90E" w:rsidRPr="68A3C7B1">
        <w:rPr>
          <w:rFonts w:ascii="Arial" w:hAnsi="Arial" w:cs="Arial"/>
          <w:sz w:val="28"/>
          <w:szCs w:val="28"/>
        </w:rPr>
        <w:t>AFSA</w:t>
      </w:r>
      <w:r w:rsidRPr="68A3C7B1">
        <w:rPr>
          <w:rFonts w:ascii="Arial" w:hAnsi="Arial" w:cs="Arial"/>
          <w:sz w:val="28"/>
          <w:szCs w:val="28"/>
        </w:rPr>
        <w:t xml:space="preserve">, as part of raising awareness of ML/TF risks, conducts regular training for employees of the </w:t>
      </w:r>
      <w:r w:rsidR="30FCE90E" w:rsidRPr="68A3C7B1">
        <w:rPr>
          <w:rFonts w:ascii="Arial" w:hAnsi="Arial" w:cs="Arial"/>
          <w:sz w:val="28"/>
          <w:szCs w:val="28"/>
        </w:rPr>
        <w:t>AFSA</w:t>
      </w:r>
      <w:r w:rsidRPr="68A3C7B1">
        <w:rPr>
          <w:rFonts w:ascii="Arial" w:hAnsi="Arial" w:cs="Arial"/>
          <w:sz w:val="28"/>
          <w:szCs w:val="28"/>
        </w:rPr>
        <w:t xml:space="preserve">, including mandatory knowledge testing, and also conducts information meetings with the AIFC </w:t>
      </w:r>
      <w:proofErr w:type="gramStart"/>
      <w:r w:rsidR="30FCE90E" w:rsidRPr="68A3C7B1">
        <w:rPr>
          <w:rFonts w:ascii="Arial" w:hAnsi="Arial" w:cs="Arial"/>
          <w:sz w:val="28"/>
          <w:szCs w:val="28"/>
        </w:rPr>
        <w:t>DASPs</w:t>
      </w:r>
      <w:r w:rsidRPr="68A3C7B1">
        <w:rPr>
          <w:rFonts w:ascii="Arial" w:hAnsi="Arial" w:cs="Arial"/>
          <w:sz w:val="28"/>
          <w:szCs w:val="28"/>
        </w:rPr>
        <w:t>;</w:t>
      </w:r>
      <w:proofErr w:type="gramEnd"/>
      <w:r w:rsidRPr="68A3C7B1">
        <w:rPr>
          <w:rFonts w:ascii="Arial" w:hAnsi="Arial" w:cs="Arial"/>
          <w:sz w:val="28"/>
          <w:szCs w:val="28"/>
        </w:rPr>
        <w:t xml:space="preserve"> </w:t>
      </w:r>
    </w:p>
    <w:p w14:paraId="75CC0A61" w14:textId="23ADE7B1" w:rsidR="00F55E28" w:rsidRPr="007B3F28" w:rsidRDefault="00F55E28" w:rsidP="003B475F">
      <w:pPr>
        <w:pStyle w:val="ListParagraph"/>
        <w:spacing w:line="360" w:lineRule="auto"/>
        <w:ind w:left="0"/>
        <w:jc w:val="both"/>
        <w:rPr>
          <w:rFonts w:ascii="Arial" w:hAnsi="Arial" w:cs="Arial"/>
          <w:sz w:val="28"/>
          <w:szCs w:val="28"/>
        </w:rPr>
      </w:pPr>
      <w:r w:rsidRPr="00177082">
        <w:rPr>
          <w:rFonts w:ascii="Arial" w:hAnsi="Arial" w:cs="Arial"/>
          <w:b/>
          <w:bCs/>
          <w:sz w:val="28"/>
          <w:szCs w:val="28"/>
        </w:rPr>
        <w:t>2-1.</w:t>
      </w:r>
      <w:r w:rsidRPr="00F55E28">
        <w:rPr>
          <w:rFonts w:ascii="Arial" w:hAnsi="Arial" w:cs="Arial"/>
          <w:sz w:val="28"/>
          <w:szCs w:val="28"/>
        </w:rPr>
        <w:t xml:space="preserve"> Also, the relevant expertise in the investigation is provided by the Financial Investigation Department of the </w:t>
      </w:r>
      <w:r w:rsidR="00571D5C">
        <w:rPr>
          <w:rFonts w:ascii="Arial" w:hAnsi="Arial" w:cs="Arial"/>
          <w:sz w:val="28"/>
          <w:szCs w:val="28"/>
        </w:rPr>
        <w:t>AFSA</w:t>
      </w:r>
      <w:r w:rsidRPr="00F55E28">
        <w:rPr>
          <w:rFonts w:ascii="Arial" w:hAnsi="Arial" w:cs="Arial"/>
          <w:sz w:val="28"/>
          <w:szCs w:val="28"/>
        </w:rPr>
        <w:t xml:space="preserve">, which interacts with law enforcement agencies and </w:t>
      </w:r>
      <w:proofErr w:type="gramStart"/>
      <w:r w:rsidRPr="00F55E28">
        <w:rPr>
          <w:rFonts w:ascii="Arial" w:hAnsi="Arial" w:cs="Arial"/>
          <w:sz w:val="28"/>
          <w:szCs w:val="28"/>
        </w:rPr>
        <w:t>courts;</w:t>
      </w:r>
      <w:proofErr w:type="gramEnd"/>
    </w:p>
    <w:p w14:paraId="2FB70FF1" w14:textId="525E92C5" w:rsidR="00F55E28" w:rsidRPr="007B3F28" w:rsidRDefault="00F55E28" w:rsidP="003B475F">
      <w:pPr>
        <w:pStyle w:val="ListParagraph"/>
        <w:spacing w:line="360" w:lineRule="auto"/>
        <w:ind w:left="0"/>
        <w:jc w:val="both"/>
        <w:rPr>
          <w:rFonts w:ascii="Arial" w:hAnsi="Arial" w:cs="Arial"/>
          <w:sz w:val="28"/>
          <w:szCs w:val="28"/>
        </w:rPr>
      </w:pPr>
      <w:r w:rsidRPr="00177082">
        <w:rPr>
          <w:rFonts w:ascii="Arial" w:hAnsi="Arial" w:cs="Arial"/>
          <w:b/>
          <w:bCs/>
          <w:sz w:val="28"/>
          <w:szCs w:val="28"/>
        </w:rPr>
        <w:t>3.</w:t>
      </w:r>
      <w:r w:rsidRPr="00F55E28">
        <w:rPr>
          <w:rFonts w:ascii="Arial" w:hAnsi="Arial" w:cs="Arial"/>
          <w:sz w:val="28"/>
          <w:szCs w:val="28"/>
        </w:rPr>
        <w:t xml:space="preserve"> As part of the third line of defense, the Internal Audit of the </w:t>
      </w:r>
      <w:r w:rsidR="00571D5C">
        <w:rPr>
          <w:rFonts w:ascii="Arial" w:hAnsi="Arial" w:cs="Arial"/>
          <w:sz w:val="28"/>
          <w:szCs w:val="28"/>
        </w:rPr>
        <w:t>AFSA</w:t>
      </w:r>
      <w:r w:rsidRPr="00F55E28">
        <w:rPr>
          <w:rFonts w:ascii="Arial" w:hAnsi="Arial" w:cs="Arial"/>
          <w:sz w:val="28"/>
          <w:szCs w:val="28"/>
        </w:rPr>
        <w:t xml:space="preserve"> provides independent and objective assurances and recommendations regarding the adequacy and effectiveness of corporate governance and risk management of the </w:t>
      </w:r>
      <w:r w:rsidR="00571D5C">
        <w:rPr>
          <w:rFonts w:ascii="Arial" w:hAnsi="Arial" w:cs="Arial"/>
          <w:sz w:val="28"/>
          <w:szCs w:val="28"/>
        </w:rPr>
        <w:t>AFSA</w:t>
      </w:r>
      <w:r w:rsidRPr="00F55E28">
        <w:rPr>
          <w:rFonts w:ascii="Arial" w:hAnsi="Arial" w:cs="Arial"/>
          <w:sz w:val="28"/>
          <w:szCs w:val="28"/>
        </w:rPr>
        <w:t>.</w:t>
      </w:r>
    </w:p>
    <w:p w14:paraId="29845875" w14:textId="6E183C0B" w:rsidR="00F55E28" w:rsidRPr="007B3F28" w:rsidRDefault="00F55E28" w:rsidP="003B475F">
      <w:pPr>
        <w:pStyle w:val="ListParagraph"/>
        <w:spacing w:line="360" w:lineRule="auto"/>
        <w:ind w:left="0"/>
        <w:jc w:val="both"/>
        <w:rPr>
          <w:rFonts w:ascii="Arial" w:hAnsi="Arial" w:cs="Arial"/>
          <w:sz w:val="28"/>
          <w:szCs w:val="28"/>
        </w:rPr>
      </w:pPr>
      <w:r w:rsidRPr="00F55E28">
        <w:rPr>
          <w:rFonts w:ascii="Arial" w:hAnsi="Arial" w:cs="Arial"/>
          <w:sz w:val="28"/>
          <w:szCs w:val="28"/>
        </w:rPr>
        <w:t>Thus, the existing model of the risk-based approach adopted by the AIFC Committee allows supervisory units to systematically assess companies from the point of view of risks, as well as to constantly monitor and identify ML/TF risks.</w:t>
      </w:r>
    </w:p>
    <w:p w14:paraId="1D885C2B" w14:textId="7041DC6F" w:rsidR="00FD3232" w:rsidRPr="007B3F28" w:rsidRDefault="00AF2844" w:rsidP="003B475F">
      <w:pPr>
        <w:pStyle w:val="ListParagraph"/>
        <w:spacing w:line="360" w:lineRule="auto"/>
        <w:ind w:left="0"/>
        <w:jc w:val="both"/>
        <w:rPr>
          <w:rFonts w:ascii="Arial" w:hAnsi="Arial" w:cs="Arial"/>
          <w:sz w:val="28"/>
          <w:szCs w:val="28"/>
        </w:rPr>
      </w:pPr>
      <w:r>
        <w:rPr>
          <w:rFonts w:ascii="Arial" w:hAnsi="Arial" w:cs="Arial"/>
          <w:sz w:val="28"/>
          <w:szCs w:val="28"/>
        </w:rPr>
        <w:t xml:space="preserve">As part of the prevention of the use of the AIFC platform by </w:t>
      </w:r>
      <w:r w:rsidR="00571D5C">
        <w:rPr>
          <w:rFonts w:ascii="Arial" w:hAnsi="Arial" w:cs="Arial"/>
          <w:sz w:val="28"/>
          <w:szCs w:val="28"/>
        </w:rPr>
        <w:t>DASPs</w:t>
      </w:r>
      <w:r>
        <w:rPr>
          <w:rFonts w:ascii="Arial" w:hAnsi="Arial" w:cs="Arial"/>
          <w:sz w:val="28"/>
          <w:szCs w:val="28"/>
        </w:rPr>
        <w:t xml:space="preserve"> for ML/TF purposes and other illegal activities, they are required to complete the due diligence procedure of a potential </w:t>
      </w:r>
      <w:r w:rsidR="00571D5C">
        <w:rPr>
          <w:rFonts w:ascii="Arial" w:hAnsi="Arial" w:cs="Arial"/>
          <w:sz w:val="28"/>
          <w:szCs w:val="28"/>
        </w:rPr>
        <w:t>DASP</w:t>
      </w:r>
      <w:r>
        <w:rPr>
          <w:rFonts w:ascii="Arial" w:hAnsi="Arial" w:cs="Arial"/>
          <w:sz w:val="28"/>
          <w:szCs w:val="28"/>
        </w:rPr>
        <w:t xml:space="preserve"> at the stage of applying for a license; to verify the availability of AML/CFT rules and instructions adopted by </w:t>
      </w:r>
      <w:r w:rsidR="00571D5C">
        <w:rPr>
          <w:rFonts w:ascii="Arial" w:hAnsi="Arial" w:cs="Arial"/>
          <w:sz w:val="28"/>
          <w:szCs w:val="28"/>
        </w:rPr>
        <w:t>DASP</w:t>
      </w:r>
      <w:r>
        <w:rPr>
          <w:rFonts w:ascii="Arial" w:hAnsi="Arial" w:cs="Arial"/>
          <w:sz w:val="28"/>
          <w:szCs w:val="28"/>
        </w:rPr>
        <w:t xml:space="preserve"> management; requirement for </w:t>
      </w:r>
      <w:r w:rsidR="00571D5C">
        <w:rPr>
          <w:rFonts w:ascii="Arial" w:hAnsi="Arial" w:cs="Arial"/>
          <w:sz w:val="28"/>
          <w:szCs w:val="28"/>
        </w:rPr>
        <w:t>DASP</w:t>
      </w:r>
      <w:r>
        <w:rPr>
          <w:rFonts w:ascii="Arial" w:hAnsi="Arial" w:cs="Arial"/>
          <w:sz w:val="28"/>
          <w:szCs w:val="28"/>
        </w:rPr>
        <w:t xml:space="preserve"> at the stage of obtaining a license to appoint a responsible AML/CFT officer; mandatory confirmation of the absence of a criminal record and the presence of relevant work experience or knowledge in the field of AML/CFT, conducting an interview with the candidate; requiring Participants to monitor, revise and update AML/CFT policies and procedures; the requirement to disclose the ownership structure </w:t>
      </w:r>
      <w:r>
        <w:rPr>
          <w:rFonts w:ascii="Arial" w:hAnsi="Arial" w:cs="Arial"/>
          <w:sz w:val="28"/>
          <w:szCs w:val="28"/>
        </w:rPr>
        <w:lastRenderedPageBreak/>
        <w:t>and the ultimate beneficiary of the applicant; mandatory verification of the applicant's managers and owners against the "black" lists of World-check in order to identify persons involved in criminal activities.</w:t>
      </w:r>
    </w:p>
    <w:tbl>
      <w:tblPr>
        <w:tblStyle w:val="TableGrid"/>
        <w:tblW w:w="0" w:type="auto"/>
        <w:tblLook w:val="04A0" w:firstRow="1" w:lastRow="0" w:firstColumn="1" w:lastColumn="0" w:noHBand="0" w:noVBand="1"/>
      </w:tblPr>
      <w:tblGrid>
        <w:gridCol w:w="9345"/>
      </w:tblGrid>
      <w:tr w:rsidR="00870F51" w:rsidRPr="00D12FAD" w14:paraId="134FB708" w14:textId="77777777" w:rsidTr="0039212F">
        <w:trPr>
          <w:trHeight w:val="300"/>
        </w:trPr>
        <w:tc>
          <w:tcPr>
            <w:tcW w:w="9345" w:type="dxa"/>
            <w:shd w:val="clear" w:color="auto" w:fill="DBDBDB" w:themeFill="accent3" w:themeFillTint="66"/>
          </w:tcPr>
          <w:p w14:paraId="4E89F6CD" w14:textId="77777777" w:rsidR="00870F51" w:rsidRPr="007B3F28" w:rsidRDefault="00870F51" w:rsidP="0039212F">
            <w:pPr>
              <w:pStyle w:val="ListParagraph"/>
              <w:spacing w:line="360" w:lineRule="auto"/>
              <w:ind w:left="0"/>
              <w:jc w:val="both"/>
              <w:rPr>
                <w:rFonts w:ascii="Arial" w:hAnsi="Arial" w:cs="Arial"/>
                <w:b/>
                <w:bCs/>
                <w:sz w:val="28"/>
                <w:szCs w:val="28"/>
              </w:rPr>
            </w:pPr>
            <w:r w:rsidRPr="00AD4C7D">
              <w:rPr>
                <w:rFonts w:ascii="Arial" w:hAnsi="Arial" w:cs="Arial"/>
                <w:b/>
                <w:bCs/>
                <w:sz w:val="28"/>
                <w:szCs w:val="28"/>
              </w:rPr>
              <w:t>Example.</w:t>
            </w:r>
          </w:p>
          <w:p w14:paraId="1DCE05F8" w14:textId="41BECDEE" w:rsidR="00870F51" w:rsidRPr="007B3F28" w:rsidRDefault="00870F51" w:rsidP="0039212F">
            <w:pPr>
              <w:pStyle w:val="ListParagraph"/>
              <w:spacing w:line="360" w:lineRule="auto"/>
              <w:ind w:left="0"/>
              <w:jc w:val="both"/>
              <w:rPr>
                <w:rFonts w:ascii="Arial" w:hAnsi="Arial" w:cs="Arial"/>
                <w:sz w:val="28"/>
                <w:szCs w:val="28"/>
              </w:rPr>
            </w:pPr>
            <w:r w:rsidRPr="00ED368C">
              <w:rPr>
                <w:rFonts w:ascii="Arial" w:hAnsi="Arial" w:cs="Arial"/>
                <w:sz w:val="28"/>
                <w:szCs w:val="28"/>
              </w:rPr>
              <w:t xml:space="preserve">The </w:t>
            </w:r>
            <w:r w:rsidR="009E172D" w:rsidRPr="00ED368C">
              <w:rPr>
                <w:rFonts w:ascii="Arial" w:hAnsi="Arial" w:cs="Arial"/>
                <w:sz w:val="28"/>
                <w:szCs w:val="28"/>
              </w:rPr>
              <w:t>AFSA</w:t>
            </w:r>
            <w:r w:rsidRPr="00ED368C">
              <w:rPr>
                <w:rFonts w:ascii="Arial" w:hAnsi="Arial" w:cs="Arial"/>
                <w:sz w:val="28"/>
                <w:szCs w:val="28"/>
              </w:rPr>
              <w:t xml:space="preserve"> rejected the application of Person A for admission as the ultimate beneficiary of a company registered in the AIFC. Among the main reasons for refusal set out by the </w:t>
            </w:r>
            <w:r w:rsidR="009E172D" w:rsidRPr="00ED368C">
              <w:rPr>
                <w:rFonts w:ascii="Arial" w:hAnsi="Arial" w:cs="Arial"/>
                <w:sz w:val="28"/>
                <w:szCs w:val="28"/>
              </w:rPr>
              <w:t>AFSA</w:t>
            </w:r>
            <w:r w:rsidRPr="00ED368C">
              <w:rPr>
                <w:rFonts w:ascii="Arial" w:hAnsi="Arial" w:cs="Arial"/>
                <w:sz w:val="28"/>
                <w:szCs w:val="28"/>
              </w:rPr>
              <w:t xml:space="preserve"> were: 1) deliberate concealment from the </w:t>
            </w:r>
            <w:r w:rsidR="009E172D" w:rsidRPr="00ED368C">
              <w:rPr>
                <w:rFonts w:ascii="Arial" w:hAnsi="Arial" w:cs="Arial"/>
                <w:sz w:val="28"/>
                <w:szCs w:val="28"/>
              </w:rPr>
              <w:t>AFSA</w:t>
            </w:r>
            <w:r w:rsidRPr="00ED368C">
              <w:rPr>
                <w:rFonts w:ascii="Arial" w:hAnsi="Arial" w:cs="Arial"/>
                <w:sz w:val="28"/>
                <w:szCs w:val="28"/>
              </w:rPr>
              <w:t xml:space="preserve"> of the fact that Person A had a different name and surname; 2) the applicant was the chairman of a large foreign company, the license of which was revoked by a foreign regulator due to repeated AML/CFT violations, which was reported to the </w:t>
            </w:r>
            <w:r w:rsidR="009E172D" w:rsidRPr="00ED368C">
              <w:rPr>
                <w:rFonts w:ascii="Arial" w:hAnsi="Arial" w:cs="Arial"/>
                <w:sz w:val="28"/>
                <w:szCs w:val="28"/>
              </w:rPr>
              <w:t>AFSA</w:t>
            </w:r>
            <w:r w:rsidRPr="00ED368C">
              <w:rPr>
                <w:rFonts w:ascii="Arial" w:hAnsi="Arial" w:cs="Arial"/>
                <w:sz w:val="28"/>
                <w:szCs w:val="28"/>
              </w:rPr>
              <w:t xml:space="preserve"> by a foreign regulator.</w:t>
            </w:r>
          </w:p>
          <w:p w14:paraId="03C7B95D" w14:textId="75E7B42B" w:rsidR="00870F51" w:rsidRPr="007B3F28" w:rsidRDefault="00870F51" w:rsidP="0039212F">
            <w:pPr>
              <w:spacing w:line="360" w:lineRule="auto"/>
              <w:jc w:val="both"/>
              <w:rPr>
                <w:rFonts w:ascii="Arial" w:hAnsi="Arial" w:cs="Arial"/>
                <w:sz w:val="28"/>
                <w:szCs w:val="28"/>
              </w:rPr>
            </w:pPr>
            <w:r>
              <w:rPr>
                <w:rFonts w:ascii="Arial" w:hAnsi="Arial" w:cs="Arial"/>
                <w:sz w:val="28"/>
                <w:szCs w:val="28"/>
              </w:rPr>
              <w:t xml:space="preserve">Person A appealed to the AIFC Court against the decision of the </w:t>
            </w:r>
            <w:r w:rsidR="009E172D">
              <w:rPr>
                <w:rFonts w:ascii="Arial" w:hAnsi="Arial" w:cs="Arial"/>
                <w:sz w:val="28"/>
                <w:szCs w:val="28"/>
              </w:rPr>
              <w:t>AFSA</w:t>
            </w:r>
            <w:r>
              <w:rPr>
                <w:rFonts w:ascii="Arial" w:hAnsi="Arial" w:cs="Arial"/>
                <w:sz w:val="28"/>
                <w:szCs w:val="28"/>
              </w:rPr>
              <w:t xml:space="preserve">. Nevertheless, the AIFC Court found sufficient reasons for refusing to issue a license and rejected the applicant's appeal. </w:t>
            </w:r>
          </w:p>
          <w:p w14:paraId="201ED617" w14:textId="062499B8" w:rsidR="00870F51" w:rsidRPr="007B3F28" w:rsidRDefault="00870F51" w:rsidP="0039212F">
            <w:pPr>
              <w:pStyle w:val="ListParagraph"/>
              <w:spacing w:line="360" w:lineRule="auto"/>
              <w:ind w:left="0"/>
              <w:jc w:val="both"/>
              <w:rPr>
                <w:rFonts w:ascii="Arial" w:hAnsi="Arial" w:cs="Arial"/>
                <w:sz w:val="28"/>
                <w:szCs w:val="28"/>
              </w:rPr>
            </w:pPr>
            <w:r>
              <w:rPr>
                <w:rFonts w:ascii="Arial" w:hAnsi="Arial" w:cs="Arial"/>
                <w:sz w:val="28"/>
                <w:szCs w:val="28"/>
              </w:rPr>
              <w:t xml:space="preserve">The AIFC Court's agreement with the decision of the </w:t>
            </w:r>
            <w:r w:rsidR="009E172D">
              <w:rPr>
                <w:rFonts w:ascii="Arial" w:hAnsi="Arial" w:cs="Arial"/>
                <w:sz w:val="28"/>
                <w:szCs w:val="28"/>
              </w:rPr>
              <w:t>AFSA</w:t>
            </w:r>
            <w:r>
              <w:rPr>
                <w:rFonts w:ascii="Arial" w:hAnsi="Arial" w:cs="Arial"/>
                <w:sz w:val="28"/>
                <w:szCs w:val="28"/>
              </w:rPr>
              <w:t xml:space="preserve"> confirms: </w:t>
            </w:r>
          </w:p>
          <w:p w14:paraId="5A07F7C3" w14:textId="33AB128A" w:rsidR="00870F51" w:rsidRPr="007B3F28" w:rsidRDefault="00870F51" w:rsidP="00870F51">
            <w:pPr>
              <w:pStyle w:val="ListParagraph"/>
              <w:numPr>
                <w:ilvl w:val="0"/>
                <w:numId w:val="19"/>
              </w:numPr>
              <w:spacing w:line="360" w:lineRule="auto"/>
              <w:jc w:val="both"/>
              <w:rPr>
                <w:rFonts w:ascii="Arial" w:hAnsi="Arial" w:cs="Arial"/>
                <w:sz w:val="28"/>
                <w:szCs w:val="28"/>
              </w:rPr>
            </w:pPr>
            <w:r w:rsidRPr="163D0282">
              <w:rPr>
                <w:rFonts w:ascii="Arial" w:hAnsi="Arial" w:cs="Arial"/>
                <w:sz w:val="28"/>
                <w:szCs w:val="28"/>
              </w:rPr>
              <w:t xml:space="preserve">the effectiveness of the authorization procedures of the </w:t>
            </w:r>
            <w:r w:rsidR="009E172D">
              <w:rPr>
                <w:rFonts w:ascii="Arial" w:hAnsi="Arial" w:cs="Arial"/>
                <w:sz w:val="28"/>
                <w:szCs w:val="28"/>
              </w:rPr>
              <w:t>AFSA</w:t>
            </w:r>
            <w:r w:rsidRPr="163D0282">
              <w:rPr>
                <w:rFonts w:ascii="Arial" w:hAnsi="Arial" w:cs="Arial"/>
                <w:sz w:val="28"/>
                <w:szCs w:val="28"/>
              </w:rPr>
              <w:t xml:space="preserve">. The audit revealed the facts of name change and concealment of information about the revocation of the license by another jurisdiction due to AML/CFT. Accordingly, the regulatory requirements of the </w:t>
            </w:r>
            <w:r w:rsidR="009E172D">
              <w:rPr>
                <w:rFonts w:ascii="Arial" w:hAnsi="Arial" w:cs="Arial"/>
                <w:sz w:val="28"/>
                <w:szCs w:val="28"/>
              </w:rPr>
              <w:t>AFSA</w:t>
            </w:r>
            <w:r w:rsidRPr="163D0282">
              <w:rPr>
                <w:rFonts w:ascii="Arial" w:hAnsi="Arial" w:cs="Arial"/>
                <w:sz w:val="28"/>
                <w:szCs w:val="28"/>
              </w:rPr>
              <w:t xml:space="preserve"> made it possible to protect the territory of the AIFC from an unscrupulous </w:t>
            </w:r>
            <w:proofErr w:type="gramStart"/>
            <w:r w:rsidRPr="163D0282">
              <w:rPr>
                <w:rFonts w:ascii="Arial" w:hAnsi="Arial" w:cs="Arial"/>
                <w:sz w:val="28"/>
                <w:szCs w:val="28"/>
              </w:rPr>
              <w:t>participant;</w:t>
            </w:r>
            <w:proofErr w:type="gramEnd"/>
          </w:p>
          <w:p w14:paraId="7EB8D1A6" w14:textId="77777777" w:rsidR="00870F51" w:rsidRPr="007B3F28" w:rsidRDefault="00870F51" w:rsidP="00870F51">
            <w:pPr>
              <w:pStyle w:val="ListParagraph"/>
              <w:numPr>
                <w:ilvl w:val="0"/>
                <w:numId w:val="19"/>
              </w:numPr>
              <w:spacing w:line="360" w:lineRule="auto"/>
              <w:jc w:val="both"/>
              <w:rPr>
                <w:rFonts w:ascii="Arial" w:hAnsi="Arial" w:cs="Arial"/>
                <w:sz w:val="28"/>
                <w:szCs w:val="28"/>
              </w:rPr>
            </w:pPr>
            <w:r>
              <w:rPr>
                <w:rFonts w:ascii="Arial" w:hAnsi="Arial" w:cs="Arial"/>
                <w:sz w:val="28"/>
                <w:szCs w:val="28"/>
              </w:rPr>
              <w:t>the effectiveness of the dialogue between regulators, within the framework of which a successful exchange of confidential information took place.</w:t>
            </w:r>
          </w:p>
        </w:tc>
      </w:tr>
    </w:tbl>
    <w:p w14:paraId="0BF823B6" w14:textId="6AD19D1D" w:rsidR="00D00296" w:rsidRPr="007B3F28" w:rsidRDefault="00D00296" w:rsidP="00D00296">
      <w:pPr>
        <w:spacing w:line="360" w:lineRule="auto"/>
        <w:jc w:val="both"/>
        <w:rPr>
          <w:rFonts w:ascii="Arial" w:hAnsi="Arial" w:cs="Arial"/>
          <w:sz w:val="28"/>
          <w:szCs w:val="28"/>
        </w:rPr>
      </w:pPr>
    </w:p>
    <w:p w14:paraId="7FDD3168" w14:textId="66D2F5D5" w:rsidR="00870F51" w:rsidRPr="007B3F28" w:rsidRDefault="00294059" w:rsidP="003B475F">
      <w:pPr>
        <w:pStyle w:val="ListParagraph"/>
        <w:spacing w:line="360" w:lineRule="auto"/>
        <w:ind w:left="0"/>
        <w:jc w:val="both"/>
        <w:rPr>
          <w:rFonts w:ascii="Arial" w:hAnsi="Arial" w:cs="Arial"/>
          <w:sz w:val="28"/>
          <w:szCs w:val="28"/>
        </w:rPr>
      </w:pPr>
      <w:bookmarkStart w:id="25" w:name="_Hlk168331823"/>
      <w:r w:rsidRPr="00294059">
        <w:rPr>
          <w:rFonts w:ascii="Arial" w:hAnsi="Arial" w:cs="Arial"/>
          <w:sz w:val="28"/>
          <w:szCs w:val="28"/>
        </w:rPr>
        <w:t xml:space="preserve">Along with ensuring the effectiveness of the three lines of defense, the </w:t>
      </w:r>
      <w:r w:rsidR="009E172D">
        <w:rPr>
          <w:rFonts w:ascii="Arial" w:hAnsi="Arial" w:cs="Arial"/>
          <w:sz w:val="28"/>
          <w:szCs w:val="28"/>
        </w:rPr>
        <w:t>AFSA</w:t>
      </w:r>
      <w:r w:rsidRPr="00294059">
        <w:rPr>
          <w:rFonts w:ascii="Arial" w:hAnsi="Arial" w:cs="Arial"/>
          <w:sz w:val="28"/>
          <w:szCs w:val="28"/>
        </w:rPr>
        <w:t xml:space="preserve"> is constantly working to interact with the AIFC Participants in terms of maintaining their level of awareness of current AML/CFT trends and typologies. In addition, the </w:t>
      </w:r>
      <w:r w:rsidR="009E172D">
        <w:rPr>
          <w:rFonts w:ascii="Arial" w:hAnsi="Arial" w:cs="Arial"/>
          <w:sz w:val="28"/>
          <w:szCs w:val="28"/>
        </w:rPr>
        <w:t>AFSA</w:t>
      </w:r>
      <w:r w:rsidRPr="00294059">
        <w:rPr>
          <w:rFonts w:ascii="Arial" w:hAnsi="Arial" w:cs="Arial"/>
          <w:sz w:val="28"/>
          <w:szCs w:val="28"/>
        </w:rPr>
        <w:t xml:space="preserve"> conducts information sessions to explain the </w:t>
      </w:r>
      <w:r w:rsidR="009E172D">
        <w:rPr>
          <w:rFonts w:ascii="Arial" w:hAnsi="Arial" w:cs="Arial"/>
          <w:sz w:val="28"/>
          <w:szCs w:val="28"/>
        </w:rPr>
        <w:t xml:space="preserve">AIFC </w:t>
      </w:r>
      <w:r w:rsidRPr="00294059">
        <w:rPr>
          <w:rFonts w:ascii="Arial" w:hAnsi="Arial" w:cs="Arial"/>
          <w:sz w:val="28"/>
          <w:szCs w:val="28"/>
        </w:rPr>
        <w:t xml:space="preserve">requirements for the development and implementation of AML/CFT </w:t>
      </w:r>
      <w:r w:rsidRPr="00294059">
        <w:rPr>
          <w:rFonts w:ascii="Arial" w:hAnsi="Arial" w:cs="Arial"/>
          <w:sz w:val="28"/>
          <w:szCs w:val="28"/>
        </w:rPr>
        <w:lastRenderedPageBreak/>
        <w:t xml:space="preserve">measures. Training events are carried out both by the AIFC Committee itself and with the involvement of international experts. As of April 1, 2024, 15 seminars, trainings and round tables have been held for </w:t>
      </w:r>
      <w:r w:rsidR="009E172D">
        <w:rPr>
          <w:rFonts w:ascii="Arial" w:hAnsi="Arial" w:cs="Arial"/>
          <w:sz w:val="28"/>
          <w:szCs w:val="28"/>
        </w:rPr>
        <w:t>DASPs</w:t>
      </w:r>
      <w:r w:rsidRPr="00294059">
        <w:rPr>
          <w:rFonts w:ascii="Arial" w:hAnsi="Arial" w:cs="Arial"/>
          <w:sz w:val="28"/>
          <w:szCs w:val="28"/>
        </w:rPr>
        <w:t xml:space="preserve"> alone (2021 - 2; 2022 - 4; 2023 - 7; 2024 - 2), including with the participation of experts from IMF, UNODC, RUSI, USA Embassy, UK Embassy, EAG, ITMCFM.   </w:t>
      </w:r>
      <w:bookmarkEnd w:id="25"/>
    </w:p>
    <w:p w14:paraId="5376D646" w14:textId="77777777" w:rsidR="00AD5C42" w:rsidRPr="007B3F28" w:rsidRDefault="00AD5C42" w:rsidP="003B475F">
      <w:pPr>
        <w:pStyle w:val="ListParagraph"/>
        <w:spacing w:line="360" w:lineRule="auto"/>
        <w:ind w:left="0"/>
        <w:jc w:val="both"/>
        <w:rPr>
          <w:rFonts w:ascii="Arial" w:hAnsi="Arial" w:cs="Arial"/>
          <w:sz w:val="28"/>
          <w:szCs w:val="28"/>
        </w:rPr>
      </w:pPr>
    </w:p>
    <w:p w14:paraId="02919B73" w14:textId="68B3DBB2" w:rsidR="00574B67" w:rsidRPr="007B3F28" w:rsidRDefault="001251BC" w:rsidP="003B475F">
      <w:pPr>
        <w:pStyle w:val="ListParagraph"/>
        <w:spacing w:line="360" w:lineRule="auto"/>
        <w:ind w:left="0"/>
        <w:jc w:val="both"/>
        <w:rPr>
          <w:rFonts w:ascii="Arial" w:hAnsi="Arial" w:cs="Arial"/>
          <w:sz w:val="28"/>
          <w:szCs w:val="28"/>
        </w:rPr>
      </w:pPr>
      <w:r w:rsidRPr="00036BE4">
        <w:rPr>
          <w:rFonts w:ascii="Arial" w:hAnsi="Arial" w:cs="Arial"/>
          <w:b/>
          <w:bCs/>
          <w:sz w:val="28"/>
          <w:szCs w:val="28"/>
        </w:rPr>
        <w:t xml:space="preserve">3.1) AML/CFT Regime (Requirements for Participants) </w:t>
      </w:r>
    </w:p>
    <w:p w14:paraId="7F6967AB" w14:textId="77F023F0" w:rsidR="0065165E" w:rsidRPr="007B3F28" w:rsidRDefault="0065165E" w:rsidP="003B475F">
      <w:pPr>
        <w:pStyle w:val="ListParagraph"/>
        <w:spacing w:line="360" w:lineRule="auto"/>
        <w:ind w:left="0"/>
        <w:jc w:val="both"/>
        <w:rPr>
          <w:rFonts w:ascii="Arial" w:hAnsi="Arial" w:cs="Arial"/>
          <w:sz w:val="28"/>
          <w:szCs w:val="28"/>
        </w:rPr>
      </w:pPr>
      <w:proofErr w:type="gramStart"/>
      <w:r w:rsidRPr="0065165E">
        <w:rPr>
          <w:rFonts w:ascii="Arial" w:hAnsi="Arial" w:cs="Arial"/>
          <w:sz w:val="28"/>
          <w:szCs w:val="28"/>
        </w:rPr>
        <w:t>In order to</w:t>
      </w:r>
      <w:proofErr w:type="gramEnd"/>
      <w:r w:rsidRPr="0065165E">
        <w:rPr>
          <w:rFonts w:ascii="Arial" w:hAnsi="Arial" w:cs="Arial"/>
          <w:sz w:val="28"/>
          <w:szCs w:val="28"/>
        </w:rPr>
        <w:t xml:space="preserve"> prevent the use of </w:t>
      </w:r>
      <w:r w:rsidR="009E172D">
        <w:rPr>
          <w:rFonts w:ascii="Arial" w:hAnsi="Arial" w:cs="Arial"/>
          <w:sz w:val="28"/>
          <w:szCs w:val="28"/>
        </w:rPr>
        <w:t>DASP</w:t>
      </w:r>
      <w:r w:rsidRPr="0065165E">
        <w:rPr>
          <w:rFonts w:ascii="Arial" w:hAnsi="Arial" w:cs="Arial"/>
          <w:sz w:val="28"/>
          <w:szCs w:val="28"/>
        </w:rPr>
        <w:t xml:space="preserve">s by criminals in relation to </w:t>
      </w:r>
      <w:r w:rsidR="009E172D">
        <w:rPr>
          <w:rFonts w:ascii="Arial" w:hAnsi="Arial" w:cs="Arial"/>
          <w:sz w:val="28"/>
          <w:szCs w:val="28"/>
        </w:rPr>
        <w:t>DASP</w:t>
      </w:r>
      <w:r w:rsidRPr="0065165E">
        <w:rPr>
          <w:rFonts w:ascii="Arial" w:hAnsi="Arial" w:cs="Arial"/>
          <w:sz w:val="28"/>
          <w:szCs w:val="28"/>
        </w:rPr>
        <w:t xml:space="preserve">s, the AIFC AML/CFT Rules (AIFC AML/CFT Rules) establish the following AML/CFT requirements:    </w:t>
      </w:r>
    </w:p>
    <w:p w14:paraId="09BAF633" w14:textId="5FA9CE02" w:rsidR="0065165E" w:rsidRPr="007B3F28" w:rsidRDefault="0065165E" w:rsidP="003B475F">
      <w:pPr>
        <w:pStyle w:val="ListParagraph"/>
        <w:spacing w:line="360" w:lineRule="auto"/>
        <w:jc w:val="both"/>
        <w:rPr>
          <w:rFonts w:ascii="Arial" w:hAnsi="Arial" w:cs="Arial"/>
          <w:sz w:val="28"/>
          <w:szCs w:val="28"/>
        </w:rPr>
      </w:pPr>
      <w:r w:rsidRPr="0065165E">
        <w:rPr>
          <w:rFonts w:ascii="Arial" w:hAnsi="Arial" w:cs="Arial"/>
          <w:sz w:val="28"/>
          <w:szCs w:val="28"/>
        </w:rPr>
        <w:t>·</w:t>
      </w:r>
      <w:r w:rsidRPr="0065165E">
        <w:rPr>
          <w:rFonts w:ascii="Arial" w:hAnsi="Arial" w:cs="Arial"/>
          <w:sz w:val="28"/>
          <w:szCs w:val="28"/>
        </w:rPr>
        <w:tab/>
        <w:t xml:space="preserve">Application of AML/CFT requirements to </w:t>
      </w:r>
      <w:proofErr w:type="spellStart"/>
      <w:r w:rsidRPr="0065165E">
        <w:rPr>
          <w:rFonts w:ascii="Arial" w:hAnsi="Arial" w:cs="Arial"/>
          <w:sz w:val="28"/>
          <w:szCs w:val="28"/>
        </w:rPr>
        <w:t>Authorised</w:t>
      </w:r>
      <w:proofErr w:type="spellEnd"/>
      <w:r w:rsidRPr="0065165E">
        <w:rPr>
          <w:rFonts w:ascii="Arial" w:hAnsi="Arial" w:cs="Arial"/>
          <w:sz w:val="28"/>
          <w:szCs w:val="28"/>
        </w:rPr>
        <w:t xml:space="preserve"> Firms (clauses 1.2 and 2.1 of the AIFC AML/CFT Rules)  </w:t>
      </w:r>
    </w:p>
    <w:p w14:paraId="6483A55E" w14:textId="77777777" w:rsidR="0065165E" w:rsidRPr="007B3F28" w:rsidRDefault="0065165E" w:rsidP="003B475F">
      <w:pPr>
        <w:pStyle w:val="ListParagraph"/>
        <w:spacing w:line="360" w:lineRule="auto"/>
        <w:jc w:val="both"/>
        <w:rPr>
          <w:rFonts w:ascii="Arial" w:hAnsi="Arial" w:cs="Arial"/>
          <w:sz w:val="28"/>
          <w:szCs w:val="28"/>
        </w:rPr>
      </w:pPr>
      <w:r w:rsidRPr="0065165E">
        <w:rPr>
          <w:rFonts w:ascii="Arial" w:hAnsi="Arial" w:cs="Arial"/>
          <w:sz w:val="28"/>
          <w:szCs w:val="28"/>
        </w:rPr>
        <w:t>·</w:t>
      </w:r>
      <w:r w:rsidRPr="0065165E">
        <w:rPr>
          <w:rFonts w:ascii="Arial" w:hAnsi="Arial" w:cs="Arial"/>
          <w:sz w:val="28"/>
          <w:szCs w:val="28"/>
        </w:rPr>
        <w:tab/>
        <w:t xml:space="preserve"> Application of the Risk-Based Approach, which includes an assessment of the risks of the business of the AIFC Participant and its clients (Sections 4 and 5 of the AIFC AML/CFT Rules</w:t>
      </w:r>
      <w:proofErr w:type="gramStart"/>
      <w:r w:rsidRPr="0065165E">
        <w:rPr>
          <w:rFonts w:ascii="Arial" w:hAnsi="Arial" w:cs="Arial"/>
          <w:sz w:val="28"/>
          <w:szCs w:val="28"/>
        </w:rPr>
        <w:t>);</w:t>
      </w:r>
      <w:proofErr w:type="gramEnd"/>
      <w:r w:rsidRPr="0065165E">
        <w:rPr>
          <w:rFonts w:ascii="Arial" w:hAnsi="Arial" w:cs="Arial"/>
          <w:sz w:val="28"/>
          <w:szCs w:val="28"/>
        </w:rPr>
        <w:t xml:space="preserve"> </w:t>
      </w:r>
    </w:p>
    <w:p w14:paraId="296BF2BF" w14:textId="48D46D7A" w:rsidR="0065165E" w:rsidRPr="007B3F28" w:rsidRDefault="0065165E" w:rsidP="003B475F">
      <w:pPr>
        <w:pStyle w:val="ListParagraph"/>
        <w:spacing w:line="360" w:lineRule="auto"/>
        <w:jc w:val="both"/>
        <w:rPr>
          <w:rFonts w:ascii="Arial" w:hAnsi="Arial" w:cs="Arial"/>
          <w:sz w:val="28"/>
          <w:szCs w:val="28"/>
        </w:rPr>
      </w:pPr>
      <w:r w:rsidRPr="0065165E">
        <w:rPr>
          <w:rFonts w:ascii="Arial" w:hAnsi="Arial" w:cs="Arial"/>
          <w:sz w:val="28"/>
          <w:szCs w:val="28"/>
        </w:rPr>
        <w:t>·</w:t>
      </w:r>
      <w:r w:rsidRPr="0065165E">
        <w:rPr>
          <w:rFonts w:ascii="Arial" w:hAnsi="Arial" w:cs="Arial"/>
          <w:sz w:val="28"/>
          <w:szCs w:val="28"/>
        </w:rPr>
        <w:tab/>
        <w:t xml:space="preserve">Customer Identification and Verification, which includes the identification of the Ultimate Beneficial Owner, </w:t>
      </w:r>
      <w:r w:rsidR="00402A69">
        <w:rPr>
          <w:rFonts w:ascii="Arial" w:hAnsi="Arial" w:cs="Arial"/>
          <w:sz w:val="28"/>
          <w:szCs w:val="28"/>
        </w:rPr>
        <w:t>PEP</w:t>
      </w:r>
      <w:r w:rsidRPr="0065165E">
        <w:rPr>
          <w:rFonts w:ascii="Arial" w:hAnsi="Arial" w:cs="Arial"/>
          <w:sz w:val="28"/>
          <w:szCs w:val="28"/>
        </w:rPr>
        <w:t xml:space="preserve"> and sources of funds (Section 6 of the AIFC AML/CFT Rules</w:t>
      </w:r>
      <w:proofErr w:type="gramStart"/>
      <w:r w:rsidRPr="0065165E">
        <w:rPr>
          <w:rFonts w:ascii="Arial" w:hAnsi="Arial" w:cs="Arial"/>
          <w:sz w:val="28"/>
          <w:szCs w:val="28"/>
        </w:rPr>
        <w:t>);</w:t>
      </w:r>
      <w:proofErr w:type="gramEnd"/>
      <w:r w:rsidRPr="0065165E">
        <w:rPr>
          <w:rFonts w:ascii="Arial" w:hAnsi="Arial" w:cs="Arial"/>
          <w:sz w:val="28"/>
          <w:szCs w:val="28"/>
        </w:rPr>
        <w:t xml:space="preserve"> </w:t>
      </w:r>
    </w:p>
    <w:p w14:paraId="2D4C5CEF" w14:textId="77777777" w:rsidR="0065165E" w:rsidRPr="007B3F28" w:rsidRDefault="0065165E" w:rsidP="003B475F">
      <w:pPr>
        <w:pStyle w:val="ListParagraph"/>
        <w:spacing w:line="360" w:lineRule="auto"/>
        <w:jc w:val="both"/>
        <w:rPr>
          <w:rFonts w:ascii="Arial" w:hAnsi="Arial" w:cs="Arial"/>
          <w:sz w:val="28"/>
          <w:szCs w:val="28"/>
        </w:rPr>
      </w:pPr>
      <w:r w:rsidRPr="0065165E">
        <w:rPr>
          <w:rFonts w:ascii="Arial" w:hAnsi="Arial" w:cs="Arial"/>
          <w:sz w:val="28"/>
          <w:szCs w:val="28"/>
        </w:rPr>
        <w:t>·</w:t>
      </w:r>
      <w:r w:rsidRPr="0065165E">
        <w:rPr>
          <w:rFonts w:ascii="Arial" w:hAnsi="Arial" w:cs="Arial"/>
          <w:sz w:val="28"/>
          <w:szCs w:val="28"/>
        </w:rPr>
        <w:tab/>
        <w:t xml:space="preserve">Organizing and conducting Customer Due Diligence, which includes enhanced and simplified </w:t>
      </w:r>
      <w:r w:rsidRPr="00ED368C">
        <w:rPr>
          <w:rFonts w:ascii="Arial" w:hAnsi="Arial" w:cs="Arial"/>
          <w:sz w:val="28"/>
          <w:szCs w:val="28"/>
        </w:rPr>
        <w:t>CDD measures</w:t>
      </w:r>
      <w:r w:rsidRPr="0065165E">
        <w:rPr>
          <w:rFonts w:ascii="Arial" w:hAnsi="Arial" w:cs="Arial"/>
          <w:sz w:val="28"/>
          <w:szCs w:val="28"/>
        </w:rPr>
        <w:t xml:space="preserve"> (Sections 6-8 of the AML/CFT Rules</w:t>
      </w:r>
      <w:proofErr w:type="gramStart"/>
      <w:r w:rsidRPr="0065165E">
        <w:rPr>
          <w:rFonts w:ascii="Arial" w:hAnsi="Arial" w:cs="Arial"/>
          <w:sz w:val="28"/>
          <w:szCs w:val="28"/>
        </w:rPr>
        <w:t>);</w:t>
      </w:r>
      <w:proofErr w:type="gramEnd"/>
      <w:r w:rsidRPr="0065165E">
        <w:rPr>
          <w:rFonts w:ascii="Arial" w:hAnsi="Arial" w:cs="Arial"/>
          <w:sz w:val="28"/>
          <w:szCs w:val="28"/>
        </w:rPr>
        <w:t xml:space="preserve"> </w:t>
      </w:r>
    </w:p>
    <w:p w14:paraId="473B8899" w14:textId="77777777" w:rsidR="0065165E" w:rsidRPr="007B3F28" w:rsidRDefault="0065165E" w:rsidP="003B475F">
      <w:pPr>
        <w:pStyle w:val="ListParagraph"/>
        <w:spacing w:line="360" w:lineRule="auto"/>
        <w:jc w:val="both"/>
        <w:rPr>
          <w:rFonts w:ascii="Arial" w:hAnsi="Arial" w:cs="Arial"/>
          <w:sz w:val="28"/>
          <w:szCs w:val="28"/>
        </w:rPr>
      </w:pPr>
      <w:r w:rsidRPr="0065165E">
        <w:rPr>
          <w:rFonts w:ascii="Arial" w:hAnsi="Arial" w:cs="Arial"/>
          <w:sz w:val="28"/>
          <w:szCs w:val="28"/>
        </w:rPr>
        <w:t>According to the legal regulation of the AIFC, customer verification measures also include certain mechanisms for detecting illegal or criminal activities, including for other categories of predicate crimes - financing the proliferation of weapons of mass destruction, drug trafficking, fraud and others.</w:t>
      </w:r>
    </w:p>
    <w:p w14:paraId="602CE533" w14:textId="28DFC922" w:rsidR="00FE2C40" w:rsidRPr="007B3F28" w:rsidRDefault="1FF77044" w:rsidP="003B475F">
      <w:pPr>
        <w:pStyle w:val="ListParagraph"/>
        <w:spacing w:line="360" w:lineRule="auto"/>
        <w:ind w:left="0"/>
        <w:jc w:val="both"/>
        <w:rPr>
          <w:rFonts w:ascii="Arial" w:hAnsi="Arial" w:cs="Arial"/>
          <w:sz w:val="28"/>
          <w:szCs w:val="28"/>
        </w:rPr>
      </w:pPr>
      <w:r w:rsidRPr="68A3C7B1">
        <w:rPr>
          <w:rFonts w:ascii="Arial" w:hAnsi="Arial" w:cs="Arial"/>
          <w:sz w:val="28"/>
          <w:szCs w:val="28"/>
        </w:rPr>
        <w:t xml:space="preserve">As part of additional verification measures, an AIFC participant, when conducting routine customer due diligence in accordance with Rule 6.5.1 of the AML/CFT Rules, is obliged to check its customers, their business and transactions for inclusion in the UN Security Council sanctions lists and </w:t>
      </w:r>
      <w:r w:rsidRPr="68A3C7B1">
        <w:rPr>
          <w:rFonts w:ascii="Arial" w:hAnsi="Arial" w:cs="Arial"/>
          <w:sz w:val="28"/>
          <w:szCs w:val="28"/>
        </w:rPr>
        <w:lastRenderedPageBreak/>
        <w:t xml:space="preserve">"black" lists of persons and organizations published by the authorized bodies of the Republic of Kazakhstan. The procedural details of the audit are established in accordance with the Requirements for the AIFC AML/CFT </w:t>
      </w:r>
      <w:r w:rsidR="646623F2" w:rsidRPr="68A3C7B1">
        <w:rPr>
          <w:rFonts w:ascii="Arial" w:hAnsi="Arial" w:cs="Arial"/>
          <w:sz w:val="28"/>
          <w:szCs w:val="28"/>
        </w:rPr>
        <w:t xml:space="preserve">Rules </w:t>
      </w:r>
      <w:r w:rsidR="646623F2" w:rsidRPr="00ED368C">
        <w:rPr>
          <w:rFonts w:ascii="Arial" w:hAnsi="Arial" w:cs="Arial"/>
          <w:sz w:val="28"/>
          <w:szCs w:val="28"/>
        </w:rPr>
        <w:t>o</w:t>
      </w:r>
      <w:r w:rsidR="37B958EB" w:rsidRPr="00ED368C">
        <w:rPr>
          <w:rFonts w:ascii="Arial" w:hAnsi="Arial" w:cs="Arial"/>
          <w:sz w:val="28"/>
          <w:szCs w:val="28"/>
        </w:rPr>
        <w:t>f</w:t>
      </w:r>
      <w:r w:rsidR="646623F2" w:rsidRPr="00ED368C">
        <w:rPr>
          <w:rFonts w:ascii="Arial" w:hAnsi="Arial" w:cs="Arial"/>
          <w:sz w:val="28"/>
          <w:szCs w:val="28"/>
        </w:rPr>
        <w:t xml:space="preserve"> </w:t>
      </w:r>
      <w:r w:rsidRPr="00ED368C">
        <w:rPr>
          <w:rFonts w:ascii="Arial" w:hAnsi="Arial" w:cs="Arial"/>
          <w:sz w:val="28"/>
          <w:szCs w:val="28"/>
        </w:rPr>
        <w:t>Internal Control (</w:t>
      </w:r>
      <w:r w:rsidR="186BE5F6" w:rsidRPr="00ED368C">
        <w:rPr>
          <w:rFonts w:ascii="Arial" w:hAnsi="Arial" w:cs="Arial"/>
          <w:sz w:val="28"/>
          <w:szCs w:val="28"/>
        </w:rPr>
        <w:t>IRC</w:t>
      </w:r>
      <w:r w:rsidRPr="00ED368C">
        <w:rPr>
          <w:rFonts w:ascii="Arial" w:hAnsi="Arial" w:cs="Arial"/>
          <w:sz w:val="28"/>
          <w:szCs w:val="28"/>
        </w:rPr>
        <w:t xml:space="preserve">) dated 15 May 2020. Thus, according to </w:t>
      </w:r>
      <w:r w:rsidR="36A1C079" w:rsidRPr="00ED368C">
        <w:rPr>
          <w:rFonts w:ascii="Arial" w:hAnsi="Arial" w:cs="Arial"/>
          <w:sz w:val="28"/>
          <w:szCs w:val="28"/>
        </w:rPr>
        <w:t>sub-</w:t>
      </w:r>
      <w:r w:rsidRPr="00ED368C">
        <w:rPr>
          <w:rFonts w:ascii="Arial" w:hAnsi="Arial" w:cs="Arial"/>
          <w:sz w:val="28"/>
          <w:szCs w:val="28"/>
        </w:rPr>
        <w:t xml:space="preserve">paragraph 5 of </w:t>
      </w:r>
      <w:r w:rsidR="36A1C079" w:rsidRPr="00ED368C">
        <w:rPr>
          <w:rFonts w:ascii="Arial" w:hAnsi="Arial" w:cs="Arial"/>
          <w:sz w:val="28"/>
          <w:szCs w:val="28"/>
        </w:rPr>
        <w:t>paragraph</w:t>
      </w:r>
      <w:r w:rsidRPr="00ED368C">
        <w:rPr>
          <w:rFonts w:ascii="Arial" w:hAnsi="Arial" w:cs="Arial"/>
          <w:sz w:val="28"/>
          <w:szCs w:val="28"/>
        </w:rPr>
        <w:t xml:space="preserve"> 22 of the Requirements for</w:t>
      </w:r>
      <w:r w:rsidR="1541EF64" w:rsidRPr="00ED368C">
        <w:rPr>
          <w:rFonts w:ascii="Arial" w:hAnsi="Arial" w:cs="Arial"/>
          <w:sz w:val="28"/>
          <w:szCs w:val="28"/>
        </w:rPr>
        <w:t xml:space="preserve"> </w:t>
      </w:r>
      <w:r w:rsidR="1BC43D46" w:rsidRPr="00ED368C">
        <w:rPr>
          <w:rFonts w:ascii="Arial" w:hAnsi="Arial" w:cs="Arial"/>
          <w:sz w:val="28"/>
          <w:szCs w:val="28"/>
        </w:rPr>
        <w:t>AIFC RIC</w:t>
      </w:r>
      <w:r w:rsidRPr="00ED368C">
        <w:rPr>
          <w:rFonts w:ascii="Arial" w:hAnsi="Arial" w:cs="Arial"/>
          <w:sz w:val="28"/>
          <w:szCs w:val="28"/>
        </w:rPr>
        <w:t xml:space="preserve"> , a program for the identification of the client</w:t>
      </w:r>
      <w:r w:rsidRPr="68A3C7B1">
        <w:rPr>
          <w:rFonts w:ascii="Arial" w:hAnsi="Arial" w:cs="Arial"/>
          <w:sz w:val="28"/>
          <w:szCs w:val="28"/>
        </w:rPr>
        <w:t>, his representative and beneficiary is established, which, among other things, includes a procedure for verifying these persons for their inclusion in the lists. The lists are used to check clients for their participation in terrorist and extremist activities and possible links with the financing of the proliferation of weapons of mass destruction (</w:t>
      </w:r>
      <w:r w:rsidR="36A1C079" w:rsidRPr="68A3C7B1">
        <w:rPr>
          <w:rFonts w:ascii="Arial" w:hAnsi="Arial" w:cs="Arial"/>
          <w:sz w:val="28"/>
          <w:szCs w:val="28"/>
        </w:rPr>
        <w:t>FPWMD</w:t>
      </w:r>
      <w:r w:rsidRPr="68A3C7B1">
        <w:rPr>
          <w:rFonts w:ascii="Arial" w:hAnsi="Arial" w:cs="Arial"/>
          <w:sz w:val="28"/>
          <w:szCs w:val="28"/>
        </w:rPr>
        <w:t xml:space="preserve">) (the list of persons included in the lists is established in accordance with </w:t>
      </w:r>
      <w:r w:rsidR="36A1C079" w:rsidRPr="68A3C7B1">
        <w:rPr>
          <w:rFonts w:ascii="Arial" w:hAnsi="Arial" w:cs="Arial"/>
          <w:sz w:val="28"/>
          <w:szCs w:val="28"/>
        </w:rPr>
        <w:t>sub-</w:t>
      </w:r>
      <w:r w:rsidRPr="68A3C7B1">
        <w:rPr>
          <w:rFonts w:ascii="Arial" w:hAnsi="Arial" w:cs="Arial"/>
          <w:sz w:val="28"/>
          <w:szCs w:val="28"/>
        </w:rPr>
        <w:t xml:space="preserve">paragraph 10) of paragraph 15 of the Requirements for the AIFC </w:t>
      </w:r>
      <w:r w:rsidR="47ADA522" w:rsidRPr="68A3C7B1">
        <w:rPr>
          <w:rFonts w:ascii="Arial" w:hAnsi="Arial" w:cs="Arial"/>
          <w:sz w:val="28"/>
          <w:szCs w:val="28"/>
        </w:rPr>
        <w:t>RIC</w:t>
      </w:r>
      <w:r w:rsidRPr="68A3C7B1">
        <w:rPr>
          <w:rFonts w:ascii="Arial" w:hAnsi="Arial" w:cs="Arial"/>
          <w:sz w:val="28"/>
          <w:szCs w:val="28"/>
        </w:rPr>
        <w:t>).</w:t>
      </w:r>
    </w:p>
    <w:p w14:paraId="27328957" w14:textId="44A04F19" w:rsidR="003B475F" w:rsidRPr="007B3F28" w:rsidRDefault="005324FD" w:rsidP="003B475F">
      <w:pPr>
        <w:pStyle w:val="ListParagraph"/>
        <w:numPr>
          <w:ilvl w:val="0"/>
          <w:numId w:val="6"/>
        </w:numPr>
        <w:spacing w:line="360" w:lineRule="auto"/>
        <w:ind w:left="0" w:firstLine="0"/>
        <w:jc w:val="both"/>
        <w:outlineLvl w:val="1"/>
        <w:rPr>
          <w:rFonts w:ascii="Arial" w:hAnsi="Arial" w:cs="Arial"/>
          <w:sz w:val="28"/>
          <w:szCs w:val="28"/>
        </w:rPr>
      </w:pPr>
      <w:bookmarkStart w:id="26" w:name="_Toc170314435"/>
      <w:r w:rsidRPr="1367BA36">
        <w:rPr>
          <w:rFonts w:ascii="Arial" w:hAnsi="Arial" w:cs="Arial"/>
          <w:b/>
          <w:bCs/>
          <w:sz w:val="28"/>
          <w:szCs w:val="28"/>
        </w:rPr>
        <w:t xml:space="preserve">AIFC measures to reduce vulnerability due to the anonymity of </w:t>
      </w:r>
      <w:r w:rsidR="00402A69">
        <w:rPr>
          <w:rFonts w:ascii="Arial" w:hAnsi="Arial" w:cs="Arial"/>
          <w:b/>
          <w:bCs/>
          <w:sz w:val="28"/>
          <w:szCs w:val="28"/>
        </w:rPr>
        <w:t>DAs</w:t>
      </w:r>
      <w:r w:rsidRPr="1367BA36">
        <w:rPr>
          <w:rFonts w:ascii="Arial" w:hAnsi="Arial" w:cs="Arial"/>
          <w:b/>
          <w:bCs/>
          <w:sz w:val="28"/>
          <w:szCs w:val="28"/>
        </w:rPr>
        <w:t xml:space="preserve"> and crypto transactions</w:t>
      </w:r>
      <w:bookmarkEnd w:id="26"/>
      <w:r w:rsidRPr="1367BA36">
        <w:rPr>
          <w:rFonts w:ascii="Arial" w:hAnsi="Arial" w:cs="Arial"/>
          <w:b/>
          <w:bCs/>
          <w:sz w:val="28"/>
          <w:szCs w:val="28"/>
        </w:rPr>
        <w:t xml:space="preserve"> </w:t>
      </w:r>
    </w:p>
    <w:p w14:paraId="51F305CE" w14:textId="33579B3F" w:rsidR="00D9416B" w:rsidRDefault="02F9E107" w:rsidP="003B475F">
      <w:pPr>
        <w:pStyle w:val="ListParagraph"/>
        <w:spacing w:line="360" w:lineRule="auto"/>
        <w:ind w:left="0"/>
        <w:jc w:val="both"/>
        <w:rPr>
          <w:rFonts w:ascii="Arial" w:hAnsi="Arial" w:cs="Arial"/>
          <w:sz w:val="28"/>
          <w:szCs w:val="28"/>
        </w:rPr>
      </w:pPr>
      <w:r w:rsidRPr="68A3C7B1">
        <w:rPr>
          <w:rFonts w:ascii="Arial" w:hAnsi="Arial" w:cs="Arial"/>
          <w:sz w:val="28"/>
          <w:szCs w:val="28"/>
        </w:rPr>
        <w:t xml:space="preserve">The AIFC's measures to reduce vulnerability due to the anonymity of </w:t>
      </w:r>
      <w:r w:rsidR="36A1C079" w:rsidRPr="68A3C7B1">
        <w:rPr>
          <w:rFonts w:ascii="Arial" w:hAnsi="Arial" w:cs="Arial"/>
          <w:sz w:val="28"/>
          <w:szCs w:val="28"/>
        </w:rPr>
        <w:t>DAs</w:t>
      </w:r>
      <w:r w:rsidRPr="68A3C7B1">
        <w:rPr>
          <w:rFonts w:ascii="Arial" w:hAnsi="Arial" w:cs="Arial"/>
          <w:sz w:val="28"/>
          <w:szCs w:val="28"/>
        </w:rPr>
        <w:t xml:space="preserve"> and crypto transactions are: the requirement for </w:t>
      </w:r>
      <w:r w:rsidR="36A1C079" w:rsidRPr="68A3C7B1">
        <w:rPr>
          <w:rFonts w:ascii="Arial" w:hAnsi="Arial" w:cs="Arial"/>
          <w:sz w:val="28"/>
          <w:szCs w:val="28"/>
        </w:rPr>
        <w:t>DASPs</w:t>
      </w:r>
      <w:r w:rsidRPr="68A3C7B1">
        <w:rPr>
          <w:rFonts w:ascii="Arial" w:hAnsi="Arial" w:cs="Arial"/>
          <w:sz w:val="28"/>
          <w:szCs w:val="28"/>
        </w:rPr>
        <w:t xml:space="preserve"> to implement procedures for identifying senders and recipients of digital assets; the requirement to identify all bidders; monitoring the presence of crypto mixers and connections with dubious accounts; the requirement to implement tools and procedures for biometric identification of the client when establishing relationships remotely; the requirement for the crypto exchange to check </w:t>
      </w:r>
      <w:r w:rsidR="6E8330E7" w:rsidRPr="68A3C7B1">
        <w:rPr>
          <w:rFonts w:ascii="Arial" w:hAnsi="Arial" w:cs="Arial"/>
          <w:sz w:val="28"/>
          <w:szCs w:val="28"/>
        </w:rPr>
        <w:t xml:space="preserve">the </w:t>
      </w:r>
      <w:r w:rsidR="36A1C079" w:rsidRPr="68A3C7B1">
        <w:rPr>
          <w:rFonts w:ascii="Arial" w:hAnsi="Arial" w:cs="Arial"/>
          <w:sz w:val="28"/>
          <w:szCs w:val="28"/>
        </w:rPr>
        <w:t>DA</w:t>
      </w:r>
      <w:r w:rsidRPr="68A3C7B1">
        <w:rPr>
          <w:rFonts w:ascii="Arial" w:hAnsi="Arial" w:cs="Arial"/>
          <w:sz w:val="28"/>
          <w:szCs w:val="28"/>
        </w:rPr>
        <w:t xml:space="preserve"> itself before admission to trading; obtaining the approval of the </w:t>
      </w:r>
      <w:r w:rsidR="36A1C079" w:rsidRPr="68A3C7B1">
        <w:rPr>
          <w:rFonts w:ascii="Arial" w:hAnsi="Arial" w:cs="Arial"/>
          <w:sz w:val="28"/>
          <w:szCs w:val="28"/>
        </w:rPr>
        <w:t>AFSA</w:t>
      </w:r>
      <w:r w:rsidRPr="68A3C7B1">
        <w:rPr>
          <w:rFonts w:ascii="Arial" w:hAnsi="Arial" w:cs="Arial"/>
          <w:sz w:val="28"/>
          <w:szCs w:val="28"/>
        </w:rPr>
        <w:t xml:space="preserve"> for the admission of </w:t>
      </w:r>
      <w:r w:rsidR="48781D61" w:rsidRPr="68A3C7B1">
        <w:rPr>
          <w:rFonts w:ascii="Arial" w:hAnsi="Arial" w:cs="Arial"/>
          <w:sz w:val="28"/>
          <w:szCs w:val="28"/>
        </w:rPr>
        <w:t xml:space="preserve">the </w:t>
      </w:r>
      <w:r w:rsidR="36A1C079" w:rsidRPr="68A3C7B1">
        <w:rPr>
          <w:rFonts w:ascii="Arial" w:hAnsi="Arial" w:cs="Arial"/>
          <w:sz w:val="28"/>
          <w:szCs w:val="28"/>
        </w:rPr>
        <w:t>DA</w:t>
      </w:r>
      <w:r w:rsidRPr="68A3C7B1">
        <w:rPr>
          <w:rFonts w:ascii="Arial" w:hAnsi="Arial" w:cs="Arial"/>
          <w:sz w:val="28"/>
          <w:szCs w:val="28"/>
        </w:rPr>
        <w:t xml:space="preserve"> to trading; a requirement for the </w:t>
      </w:r>
      <w:r w:rsidR="36A1C079" w:rsidRPr="68A3C7B1">
        <w:rPr>
          <w:rFonts w:ascii="Arial" w:hAnsi="Arial" w:cs="Arial"/>
          <w:sz w:val="28"/>
          <w:szCs w:val="28"/>
        </w:rPr>
        <w:t>DASPs</w:t>
      </w:r>
      <w:r w:rsidRPr="68A3C7B1">
        <w:rPr>
          <w:rFonts w:ascii="Arial" w:hAnsi="Arial" w:cs="Arial"/>
          <w:sz w:val="28"/>
          <w:szCs w:val="28"/>
        </w:rPr>
        <w:t xml:space="preserve"> to know the typologies and schemes for the use of blockchain technology and digital assets for criminal purposes; the requirement to implement monitoring of customer transactions for signs of suspiciousness identified by the FATF.</w:t>
      </w:r>
    </w:p>
    <w:p w14:paraId="12CD4406" w14:textId="77777777" w:rsidR="00A923F5" w:rsidRDefault="00A923F5" w:rsidP="003B475F">
      <w:pPr>
        <w:pStyle w:val="ListParagraph"/>
        <w:spacing w:line="360" w:lineRule="auto"/>
        <w:ind w:left="0"/>
        <w:jc w:val="both"/>
        <w:rPr>
          <w:rFonts w:ascii="Arial" w:hAnsi="Arial" w:cs="Arial"/>
          <w:sz w:val="28"/>
          <w:szCs w:val="28"/>
        </w:rPr>
      </w:pPr>
    </w:p>
    <w:p w14:paraId="38E454C6" w14:textId="77777777" w:rsidR="00714CDE" w:rsidRDefault="00714CDE" w:rsidP="003B475F">
      <w:pPr>
        <w:pStyle w:val="ListParagraph"/>
        <w:spacing w:line="360" w:lineRule="auto"/>
        <w:ind w:left="0"/>
        <w:jc w:val="both"/>
        <w:rPr>
          <w:rFonts w:ascii="Arial" w:hAnsi="Arial" w:cs="Arial"/>
          <w:sz w:val="28"/>
          <w:szCs w:val="28"/>
        </w:rPr>
      </w:pPr>
    </w:p>
    <w:p w14:paraId="493C1A1C" w14:textId="77777777" w:rsidR="00714CDE" w:rsidRPr="007B3F28" w:rsidRDefault="00714CDE" w:rsidP="003B475F">
      <w:pPr>
        <w:pStyle w:val="ListParagraph"/>
        <w:spacing w:line="360" w:lineRule="auto"/>
        <w:ind w:left="0"/>
        <w:jc w:val="both"/>
        <w:rPr>
          <w:rFonts w:ascii="Arial" w:hAnsi="Arial" w:cs="Arial"/>
          <w:sz w:val="28"/>
          <w:szCs w:val="28"/>
        </w:rPr>
      </w:pPr>
    </w:p>
    <w:tbl>
      <w:tblPr>
        <w:tblStyle w:val="TableGrid"/>
        <w:tblW w:w="0" w:type="auto"/>
        <w:tblLook w:val="04A0" w:firstRow="1" w:lastRow="0" w:firstColumn="1" w:lastColumn="0" w:noHBand="0" w:noVBand="1"/>
      </w:tblPr>
      <w:tblGrid>
        <w:gridCol w:w="9345"/>
      </w:tblGrid>
      <w:tr w:rsidR="00655E85" w:rsidRPr="00933DCA" w14:paraId="18493CED" w14:textId="77777777" w:rsidTr="163D0282">
        <w:tc>
          <w:tcPr>
            <w:tcW w:w="9345" w:type="dxa"/>
            <w:shd w:val="clear" w:color="auto" w:fill="DBDBDB" w:themeFill="accent3" w:themeFillTint="66"/>
          </w:tcPr>
          <w:p w14:paraId="348010A3" w14:textId="2CD90065" w:rsidR="00BC750F" w:rsidRPr="007B3F28" w:rsidRDefault="00E16F58" w:rsidP="003B475F">
            <w:pPr>
              <w:pStyle w:val="ListParagraph"/>
              <w:spacing w:after="160" w:line="360" w:lineRule="auto"/>
              <w:ind w:left="0"/>
              <w:jc w:val="both"/>
              <w:rPr>
                <w:rFonts w:ascii="Arial" w:hAnsi="Arial" w:cs="Arial"/>
                <w:b/>
                <w:bCs/>
                <w:sz w:val="28"/>
                <w:szCs w:val="28"/>
              </w:rPr>
            </w:pPr>
            <w:r w:rsidRPr="00B0218E">
              <w:rPr>
                <w:rFonts w:ascii="Arial" w:hAnsi="Arial" w:cs="Arial"/>
                <w:b/>
                <w:bCs/>
                <w:sz w:val="28"/>
                <w:szCs w:val="28"/>
              </w:rPr>
              <w:lastRenderedPageBreak/>
              <w:t xml:space="preserve">Example. </w:t>
            </w:r>
          </w:p>
          <w:p w14:paraId="0251D446" w14:textId="36959B63" w:rsidR="009E7358" w:rsidRPr="007B3F28" w:rsidRDefault="5D79FF61" w:rsidP="003B475F">
            <w:pPr>
              <w:pStyle w:val="ListParagraph"/>
              <w:spacing w:after="160" w:line="360" w:lineRule="auto"/>
              <w:ind w:left="0"/>
              <w:jc w:val="both"/>
              <w:rPr>
                <w:rFonts w:ascii="Arial" w:hAnsi="Arial" w:cs="Arial"/>
                <w:sz w:val="28"/>
                <w:szCs w:val="28"/>
              </w:rPr>
            </w:pPr>
            <w:r w:rsidRPr="163D0282">
              <w:rPr>
                <w:rFonts w:ascii="Arial" w:hAnsi="Arial" w:cs="Arial"/>
                <w:sz w:val="28"/>
                <w:szCs w:val="28"/>
              </w:rPr>
              <w:t xml:space="preserve">At the stage of establishing relations with a potential client, a crypto exchange licensed in the AIFC established circumstances that did not allow the completion of the customer due diligence procedure (KYC/CDD). </w:t>
            </w:r>
            <w:proofErr w:type="gramStart"/>
            <w:r w:rsidRPr="163D0282">
              <w:rPr>
                <w:rFonts w:ascii="Arial" w:hAnsi="Arial" w:cs="Arial"/>
                <w:sz w:val="28"/>
                <w:szCs w:val="28"/>
              </w:rPr>
              <w:t>In particular, in</w:t>
            </w:r>
            <w:proofErr w:type="gramEnd"/>
            <w:r w:rsidRPr="163D0282">
              <w:rPr>
                <w:rFonts w:ascii="Arial" w:hAnsi="Arial" w:cs="Arial"/>
                <w:sz w:val="28"/>
                <w:szCs w:val="28"/>
              </w:rPr>
              <w:t xml:space="preserve"> the process of analyzing the information provided by the client for the purpose of identification and verification (ID&amp;V), signs were found that give reason to believe that the documents and information provided by the applicant for identification purposes are unreliable (suspicious). Further analysis conducted by the MLRO of the crypto exchange also found a high level of risk in terms of the applicant's business goals. In connection with these circumstances, the applicant was denied the registration procedure on the crypto exchange </w:t>
            </w:r>
            <w:r w:rsidRPr="00ED368C">
              <w:rPr>
                <w:rFonts w:ascii="Arial" w:hAnsi="Arial" w:cs="Arial"/>
                <w:sz w:val="28"/>
                <w:szCs w:val="28"/>
              </w:rPr>
              <w:t xml:space="preserve">platform. A report on the circumstances of the refusal was sent to the </w:t>
            </w:r>
            <w:r w:rsidR="00402A69" w:rsidRPr="00ED368C">
              <w:rPr>
                <w:rFonts w:ascii="Arial" w:hAnsi="Arial" w:cs="Arial"/>
                <w:sz w:val="28"/>
                <w:szCs w:val="28"/>
              </w:rPr>
              <w:t>FIU.</w:t>
            </w:r>
          </w:p>
        </w:tc>
      </w:tr>
    </w:tbl>
    <w:p w14:paraId="44F386FD" w14:textId="77777777" w:rsidR="00655E85" w:rsidRPr="007B3F28" w:rsidRDefault="00655E85" w:rsidP="003B475F">
      <w:pPr>
        <w:pStyle w:val="ListParagraph"/>
        <w:spacing w:line="360" w:lineRule="auto"/>
        <w:ind w:left="0"/>
        <w:jc w:val="both"/>
        <w:rPr>
          <w:rFonts w:ascii="Arial" w:hAnsi="Arial" w:cs="Arial"/>
          <w:sz w:val="28"/>
          <w:szCs w:val="28"/>
        </w:rPr>
      </w:pPr>
    </w:p>
    <w:tbl>
      <w:tblPr>
        <w:tblStyle w:val="TableGrid"/>
        <w:tblW w:w="0" w:type="auto"/>
        <w:tblLook w:val="04A0" w:firstRow="1" w:lastRow="0" w:firstColumn="1" w:lastColumn="0" w:noHBand="0" w:noVBand="1"/>
      </w:tblPr>
      <w:tblGrid>
        <w:gridCol w:w="9345"/>
      </w:tblGrid>
      <w:tr w:rsidR="00573547" w:rsidRPr="00D12FAD" w14:paraId="4A0275E6" w14:textId="77777777" w:rsidTr="7AD5C25C">
        <w:tc>
          <w:tcPr>
            <w:tcW w:w="9345" w:type="dxa"/>
            <w:shd w:val="clear" w:color="auto" w:fill="DBDBDB" w:themeFill="accent3" w:themeFillTint="66"/>
          </w:tcPr>
          <w:p w14:paraId="18E30A65" w14:textId="77777777" w:rsidR="00573547" w:rsidRPr="007B3F28" w:rsidRDefault="00573547" w:rsidP="003B475F">
            <w:pPr>
              <w:pStyle w:val="ListParagraph"/>
              <w:spacing w:after="160" w:line="360" w:lineRule="auto"/>
              <w:ind w:left="0"/>
              <w:jc w:val="both"/>
              <w:rPr>
                <w:rFonts w:ascii="Arial" w:hAnsi="Arial" w:cs="Arial"/>
                <w:b/>
                <w:bCs/>
                <w:sz w:val="28"/>
                <w:szCs w:val="28"/>
              </w:rPr>
            </w:pPr>
            <w:r w:rsidRPr="00573547">
              <w:rPr>
                <w:rFonts w:ascii="Arial" w:hAnsi="Arial" w:cs="Arial"/>
                <w:b/>
                <w:bCs/>
                <w:sz w:val="28"/>
                <w:szCs w:val="28"/>
              </w:rPr>
              <w:t xml:space="preserve">Example. </w:t>
            </w:r>
          </w:p>
          <w:p w14:paraId="0E82C669" w14:textId="5F1C8826" w:rsidR="00573547" w:rsidRPr="007B3F28" w:rsidRDefault="2D0B9D30" w:rsidP="003B475F">
            <w:pPr>
              <w:pStyle w:val="ListParagraph"/>
              <w:spacing w:after="160" w:line="360" w:lineRule="auto"/>
              <w:ind w:left="0"/>
              <w:jc w:val="both"/>
              <w:rPr>
                <w:rFonts w:ascii="Arial" w:hAnsi="Arial" w:cs="Arial"/>
                <w:sz w:val="28"/>
                <w:szCs w:val="28"/>
              </w:rPr>
            </w:pPr>
            <w:r w:rsidRPr="7AD5C25C">
              <w:rPr>
                <w:rFonts w:ascii="Arial" w:hAnsi="Arial" w:cs="Arial"/>
                <w:sz w:val="28"/>
                <w:szCs w:val="28"/>
              </w:rPr>
              <w:t xml:space="preserve">The client of the crypto exchange licensed in the AIFC was identified as </w:t>
            </w:r>
            <w:proofErr w:type="gramStart"/>
            <w:r w:rsidRPr="7AD5C25C">
              <w:rPr>
                <w:rFonts w:ascii="Arial" w:hAnsi="Arial" w:cs="Arial"/>
                <w:sz w:val="28"/>
                <w:szCs w:val="28"/>
              </w:rPr>
              <w:t>an</w:t>
            </w:r>
            <w:proofErr w:type="gramEnd"/>
            <w:r w:rsidRPr="7AD5C25C">
              <w:rPr>
                <w:rFonts w:ascii="Arial" w:hAnsi="Arial" w:cs="Arial"/>
                <w:sz w:val="28"/>
                <w:szCs w:val="28"/>
              </w:rPr>
              <w:t xml:space="preserve"> P</w:t>
            </w:r>
            <w:r w:rsidR="00402A69">
              <w:rPr>
                <w:rFonts w:ascii="Arial" w:hAnsi="Arial" w:cs="Arial"/>
                <w:sz w:val="28"/>
                <w:szCs w:val="28"/>
              </w:rPr>
              <w:t>EP</w:t>
            </w:r>
            <w:r w:rsidRPr="7AD5C25C">
              <w:rPr>
                <w:rFonts w:ascii="Arial" w:hAnsi="Arial" w:cs="Arial"/>
                <w:sz w:val="28"/>
                <w:szCs w:val="28"/>
              </w:rPr>
              <w:t xml:space="preserve">, with an exact match of the full name. Subsequently, a request was sent to the client </w:t>
            </w:r>
            <w:proofErr w:type="gramStart"/>
            <w:r w:rsidRPr="7AD5C25C">
              <w:rPr>
                <w:rFonts w:ascii="Arial" w:hAnsi="Arial" w:cs="Arial"/>
                <w:sz w:val="28"/>
                <w:szCs w:val="28"/>
              </w:rPr>
              <w:t>in order to</w:t>
            </w:r>
            <w:proofErr w:type="gramEnd"/>
            <w:r w:rsidRPr="7AD5C25C">
              <w:rPr>
                <w:rFonts w:ascii="Arial" w:hAnsi="Arial" w:cs="Arial"/>
                <w:sz w:val="28"/>
                <w:szCs w:val="28"/>
              </w:rPr>
              <w:t xml:space="preserve"> confirm its status as a PEP. The client did not respond to this request. Due to the lack of confirmation by the client of his status, </w:t>
            </w:r>
            <w:proofErr w:type="gramStart"/>
            <w:r w:rsidRPr="7AD5C25C">
              <w:rPr>
                <w:rFonts w:ascii="Arial" w:hAnsi="Arial" w:cs="Arial"/>
                <w:sz w:val="28"/>
                <w:szCs w:val="28"/>
              </w:rPr>
              <w:t>on the basis of</w:t>
            </w:r>
            <w:proofErr w:type="gramEnd"/>
            <w:r w:rsidRPr="7AD5C25C">
              <w:rPr>
                <w:rFonts w:ascii="Arial" w:hAnsi="Arial" w:cs="Arial"/>
                <w:sz w:val="28"/>
                <w:szCs w:val="28"/>
              </w:rPr>
              <w:t xml:space="preserve"> the client's unwillingness to provide or refusal to provide information and documents for the purposes of due diligence, taking into account the revealed facts, the client was denied the registration procedure on the crypto exchange platform.</w:t>
            </w:r>
          </w:p>
        </w:tc>
      </w:tr>
    </w:tbl>
    <w:p w14:paraId="2FF17B63" w14:textId="6DAB1E7F" w:rsidR="335D007E" w:rsidRPr="007B3F28" w:rsidRDefault="335D007E" w:rsidP="003B475F">
      <w:pPr>
        <w:spacing w:line="360" w:lineRule="auto"/>
        <w:jc w:val="both"/>
        <w:rPr>
          <w:rFonts w:ascii="Arial" w:hAnsi="Arial" w:cs="Arial"/>
          <w:sz w:val="28"/>
          <w:szCs w:val="28"/>
        </w:rPr>
      </w:pPr>
    </w:p>
    <w:p w14:paraId="5624256A" w14:textId="77777777" w:rsidR="003B475F" w:rsidRPr="007B3F28" w:rsidRDefault="00621EDF" w:rsidP="003B475F">
      <w:pPr>
        <w:pStyle w:val="ListParagraph"/>
        <w:numPr>
          <w:ilvl w:val="0"/>
          <w:numId w:val="6"/>
        </w:numPr>
        <w:spacing w:line="360" w:lineRule="auto"/>
        <w:ind w:left="0" w:firstLine="0"/>
        <w:contextualSpacing w:val="0"/>
        <w:jc w:val="both"/>
        <w:outlineLvl w:val="1"/>
        <w:rPr>
          <w:rFonts w:ascii="Arial" w:hAnsi="Arial" w:cs="Arial"/>
          <w:sz w:val="28"/>
          <w:szCs w:val="28"/>
        </w:rPr>
      </w:pPr>
      <w:bookmarkStart w:id="27" w:name="_Toc170314436"/>
      <w:r w:rsidRPr="003B475F">
        <w:rPr>
          <w:rFonts w:ascii="Arial" w:hAnsi="Arial" w:cs="Arial"/>
          <w:b/>
          <w:bCs/>
          <w:sz w:val="28"/>
          <w:szCs w:val="28"/>
        </w:rPr>
        <w:t>AIFC measures to reduce security vulnerabilities</w:t>
      </w:r>
      <w:bookmarkEnd w:id="27"/>
    </w:p>
    <w:p w14:paraId="3F49DC25" w14:textId="2DF24039" w:rsidR="00BE5D15" w:rsidRPr="007B3F28" w:rsidRDefault="003B475F" w:rsidP="003B475F">
      <w:pPr>
        <w:pStyle w:val="ListParagraph"/>
        <w:spacing w:line="360" w:lineRule="auto"/>
        <w:ind w:left="0"/>
        <w:contextualSpacing w:val="0"/>
        <w:jc w:val="both"/>
        <w:rPr>
          <w:rFonts w:ascii="Arial" w:hAnsi="Arial" w:cs="Arial"/>
          <w:sz w:val="28"/>
          <w:szCs w:val="28"/>
        </w:rPr>
      </w:pPr>
      <w:r w:rsidRPr="003B475F">
        <w:rPr>
          <w:rFonts w:ascii="Arial" w:hAnsi="Arial" w:cs="Arial"/>
          <w:sz w:val="28"/>
          <w:szCs w:val="28"/>
        </w:rPr>
        <w:t xml:space="preserve">The AIFC's measures to mitigate security vulnerabilities include the following requirements: a requirement for the </w:t>
      </w:r>
      <w:r w:rsidR="00402A69">
        <w:rPr>
          <w:rFonts w:ascii="Arial" w:hAnsi="Arial" w:cs="Arial"/>
          <w:sz w:val="28"/>
          <w:szCs w:val="28"/>
        </w:rPr>
        <w:t>DASPs</w:t>
      </w:r>
      <w:r w:rsidRPr="003B475F">
        <w:rPr>
          <w:rFonts w:ascii="Arial" w:hAnsi="Arial" w:cs="Arial"/>
          <w:sz w:val="28"/>
          <w:szCs w:val="28"/>
        </w:rPr>
        <w:t xml:space="preserve"> to have the appropriate software, analysis and approval at the authorization stage; the requirement for the presence of an information security specialist responsible for the security of </w:t>
      </w:r>
      <w:r w:rsidRPr="003B475F">
        <w:rPr>
          <w:rFonts w:ascii="Arial" w:hAnsi="Arial" w:cs="Arial"/>
          <w:sz w:val="28"/>
          <w:szCs w:val="28"/>
        </w:rPr>
        <w:lastRenderedPageBreak/>
        <w:t xml:space="preserve">IT systems; the requirement to conduct penetration testing; constant monitoring of the activities of </w:t>
      </w:r>
      <w:r w:rsidR="00402A69">
        <w:rPr>
          <w:rFonts w:ascii="Arial" w:hAnsi="Arial" w:cs="Arial"/>
          <w:sz w:val="28"/>
          <w:szCs w:val="28"/>
        </w:rPr>
        <w:t>DASPs</w:t>
      </w:r>
      <w:r w:rsidRPr="003B475F">
        <w:rPr>
          <w:rFonts w:ascii="Arial" w:hAnsi="Arial" w:cs="Arial"/>
          <w:sz w:val="28"/>
          <w:szCs w:val="28"/>
        </w:rPr>
        <w:t xml:space="preserve">, the requirement for regular updating of tools and software; requirements for </w:t>
      </w:r>
      <w:r w:rsidR="00402A69">
        <w:rPr>
          <w:rFonts w:ascii="Arial" w:hAnsi="Arial" w:cs="Arial"/>
          <w:sz w:val="28"/>
          <w:szCs w:val="28"/>
        </w:rPr>
        <w:t>DASP</w:t>
      </w:r>
      <w:r w:rsidRPr="003B475F">
        <w:rPr>
          <w:rFonts w:ascii="Arial" w:hAnsi="Arial" w:cs="Arial"/>
          <w:sz w:val="28"/>
          <w:szCs w:val="28"/>
        </w:rPr>
        <w:t xml:space="preserve">s to implement cybersecurity policies and procedures; requirements for </w:t>
      </w:r>
      <w:r w:rsidR="00402A69">
        <w:rPr>
          <w:rFonts w:ascii="Arial" w:hAnsi="Arial" w:cs="Arial"/>
          <w:sz w:val="28"/>
          <w:szCs w:val="28"/>
        </w:rPr>
        <w:t xml:space="preserve">DASPs </w:t>
      </w:r>
      <w:r w:rsidRPr="003B475F">
        <w:rPr>
          <w:rFonts w:ascii="Arial" w:hAnsi="Arial" w:cs="Arial"/>
          <w:sz w:val="28"/>
          <w:szCs w:val="28"/>
        </w:rPr>
        <w:t>to implement systems and measures for the secure use of personal keys and an electronic wallet.</w:t>
      </w:r>
    </w:p>
    <w:p w14:paraId="2DCB76EA" w14:textId="77777777" w:rsidR="006A0D35" w:rsidRPr="007B3F28" w:rsidRDefault="006A0D35" w:rsidP="003B475F">
      <w:pPr>
        <w:pStyle w:val="ListParagraph"/>
        <w:spacing w:line="360" w:lineRule="auto"/>
        <w:ind w:left="0"/>
        <w:contextualSpacing w:val="0"/>
        <w:jc w:val="both"/>
        <w:rPr>
          <w:rFonts w:ascii="Arial" w:hAnsi="Arial" w:cs="Arial"/>
          <w:sz w:val="28"/>
          <w:szCs w:val="28"/>
        </w:rPr>
      </w:pPr>
    </w:p>
    <w:p w14:paraId="29040E93"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6FBF4394"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3A172668"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75E8A6C7"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092684BC"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4805B7F7"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66CB1A32"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25EC3C90"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4E6859C3"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0D6CF203"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0B0D7ADD" w14:textId="77777777" w:rsidR="00473767" w:rsidRPr="007B3F28" w:rsidRDefault="00473767" w:rsidP="003B475F">
      <w:pPr>
        <w:pStyle w:val="ListParagraph"/>
        <w:spacing w:line="360" w:lineRule="auto"/>
        <w:ind w:left="0"/>
        <w:contextualSpacing w:val="0"/>
        <w:jc w:val="both"/>
        <w:rPr>
          <w:rFonts w:ascii="Arial" w:hAnsi="Arial" w:cs="Arial"/>
          <w:sz w:val="28"/>
          <w:szCs w:val="28"/>
        </w:rPr>
      </w:pPr>
    </w:p>
    <w:p w14:paraId="3FE1FE3C" w14:textId="77777777" w:rsidR="00473767" w:rsidRDefault="00473767" w:rsidP="003B475F">
      <w:pPr>
        <w:pStyle w:val="ListParagraph"/>
        <w:spacing w:line="360" w:lineRule="auto"/>
        <w:ind w:left="0"/>
        <w:contextualSpacing w:val="0"/>
        <w:jc w:val="both"/>
        <w:rPr>
          <w:rFonts w:ascii="Arial" w:hAnsi="Arial" w:cs="Arial"/>
          <w:sz w:val="28"/>
          <w:szCs w:val="28"/>
        </w:rPr>
      </w:pPr>
    </w:p>
    <w:p w14:paraId="0E66C9AA" w14:textId="77777777" w:rsidR="00A923F5" w:rsidRDefault="00A923F5" w:rsidP="003B475F">
      <w:pPr>
        <w:pStyle w:val="ListParagraph"/>
        <w:spacing w:line="360" w:lineRule="auto"/>
        <w:ind w:left="0"/>
        <w:contextualSpacing w:val="0"/>
        <w:jc w:val="both"/>
        <w:rPr>
          <w:rFonts w:ascii="Arial" w:hAnsi="Arial" w:cs="Arial"/>
          <w:sz w:val="28"/>
          <w:szCs w:val="28"/>
        </w:rPr>
      </w:pPr>
    </w:p>
    <w:p w14:paraId="4A0301BF" w14:textId="77777777" w:rsidR="00A923F5" w:rsidRDefault="00A923F5" w:rsidP="003B475F">
      <w:pPr>
        <w:pStyle w:val="ListParagraph"/>
        <w:spacing w:line="360" w:lineRule="auto"/>
        <w:ind w:left="0"/>
        <w:contextualSpacing w:val="0"/>
        <w:jc w:val="both"/>
        <w:rPr>
          <w:rFonts w:ascii="Arial" w:hAnsi="Arial" w:cs="Arial"/>
          <w:sz w:val="28"/>
          <w:szCs w:val="28"/>
        </w:rPr>
      </w:pPr>
    </w:p>
    <w:p w14:paraId="48BFA638" w14:textId="77777777" w:rsidR="00A923F5" w:rsidRDefault="00A923F5" w:rsidP="003B475F">
      <w:pPr>
        <w:pStyle w:val="ListParagraph"/>
        <w:spacing w:line="360" w:lineRule="auto"/>
        <w:ind w:left="0"/>
        <w:contextualSpacing w:val="0"/>
        <w:jc w:val="both"/>
        <w:rPr>
          <w:rFonts w:ascii="Arial" w:hAnsi="Arial" w:cs="Arial"/>
          <w:sz w:val="28"/>
          <w:szCs w:val="28"/>
        </w:rPr>
      </w:pPr>
    </w:p>
    <w:p w14:paraId="09B1DF9D" w14:textId="77777777" w:rsidR="00A923F5" w:rsidRDefault="00A923F5" w:rsidP="003B475F">
      <w:pPr>
        <w:pStyle w:val="ListParagraph"/>
        <w:spacing w:line="360" w:lineRule="auto"/>
        <w:ind w:left="0"/>
        <w:contextualSpacing w:val="0"/>
        <w:jc w:val="both"/>
        <w:rPr>
          <w:rFonts w:ascii="Arial" w:hAnsi="Arial" w:cs="Arial"/>
          <w:sz w:val="28"/>
          <w:szCs w:val="28"/>
        </w:rPr>
      </w:pPr>
    </w:p>
    <w:p w14:paraId="59CF0212" w14:textId="77777777" w:rsidR="00A923F5" w:rsidRDefault="00A923F5" w:rsidP="003B475F">
      <w:pPr>
        <w:pStyle w:val="ListParagraph"/>
        <w:spacing w:line="360" w:lineRule="auto"/>
        <w:ind w:left="0"/>
        <w:contextualSpacing w:val="0"/>
        <w:jc w:val="both"/>
        <w:rPr>
          <w:rFonts w:ascii="Arial" w:hAnsi="Arial" w:cs="Arial"/>
          <w:sz w:val="28"/>
          <w:szCs w:val="28"/>
        </w:rPr>
      </w:pPr>
    </w:p>
    <w:p w14:paraId="145B323A" w14:textId="77777777" w:rsidR="00A923F5" w:rsidRPr="007B3F28" w:rsidRDefault="00A923F5" w:rsidP="003B475F">
      <w:pPr>
        <w:pStyle w:val="ListParagraph"/>
        <w:spacing w:line="360" w:lineRule="auto"/>
        <w:ind w:left="0"/>
        <w:contextualSpacing w:val="0"/>
        <w:jc w:val="both"/>
        <w:rPr>
          <w:rFonts w:ascii="Arial" w:hAnsi="Arial" w:cs="Arial"/>
          <w:sz w:val="28"/>
          <w:szCs w:val="28"/>
        </w:rPr>
      </w:pPr>
    </w:p>
    <w:p w14:paraId="64E4A77E" w14:textId="0C38E581" w:rsidR="00DF4BA4" w:rsidRPr="007B3F28" w:rsidRDefault="003B475F" w:rsidP="003B475F">
      <w:pPr>
        <w:pStyle w:val="ListParagraph"/>
        <w:numPr>
          <w:ilvl w:val="0"/>
          <w:numId w:val="4"/>
        </w:numPr>
        <w:spacing w:line="360" w:lineRule="auto"/>
        <w:ind w:left="0" w:firstLine="0"/>
        <w:contextualSpacing w:val="0"/>
        <w:jc w:val="both"/>
        <w:outlineLvl w:val="0"/>
        <w:rPr>
          <w:rFonts w:ascii="Arial" w:hAnsi="Arial" w:cs="Arial"/>
          <w:b/>
          <w:bCs/>
          <w:sz w:val="28"/>
          <w:szCs w:val="28"/>
        </w:rPr>
      </w:pPr>
      <w:bookmarkStart w:id="28" w:name="_Toc170314437"/>
      <w:r>
        <w:rPr>
          <w:rFonts w:ascii="Arial" w:hAnsi="Arial" w:cs="Arial"/>
          <w:b/>
          <w:bCs/>
          <w:sz w:val="28"/>
          <w:szCs w:val="28"/>
        </w:rPr>
        <w:lastRenderedPageBreak/>
        <w:t>CONTINUOUS MONITORING OF ML/TF RISKS</w:t>
      </w:r>
      <w:bookmarkEnd w:id="28"/>
    </w:p>
    <w:p w14:paraId="541875A1" w14:textId="086B5F34" w:rsidR="00E7480D" w:rsidRPr="007B3F28" w:rsidRDefault="00CF21BC" w:rsidP="003B475F">
      <w:pPr>
        <w:pStyle w:val="ListParagraph"/>
        <w:spacing w:line="360" w:lineRule="auto"/>
        <w:ind w:left="0"/>
        <w:jc w:val="both"/>
        <w:rPr>
          <w:rFonts w:ascii="Arial" w:hAnsi="Arial" w:cs="Arial"/>
          <w:sz w:val="28"/>
          <w:szCs w:val="28"/>
        </w:rPr>
      </w:pPr>
      <w:proofErr w:type="gramStart"/>
      <w:r>
        <w:rPr>
          <w:rFonts w:ascii="Arial" w:hAnsi="Arial" w:cs="Arial"/>
          <w:sz w:val="28"/>
          <w:szCs w:val="28"/>
        </w:rPr>
        <w:t>In order to</w:t>
      </w:r>
      <w:proofErr w:type="gramEnd"/>
      <w:r>
        <w:rPr>
          <w:rFonts w:ascii="Arial" w:hAnsi="Arial" w:cs="Arial"/>
          <w:sz w:val="28"/>
          <w:szCs w:val="28"/>
        </w:rPr>
        <w:t xml:space="preserve"> ensure adequate and timely supervisory regulatory measures, the </w:t>
      </w:r>
      <w:r w:rsidR="00402A69">
        <w:rPr>
          <w:rFonts w:ascii="Arial" w:hAnsi="Arial" w:cs="Arial"/>
          <w:sz w:val="28"/>
          <w:szCs w:val="28"/>
        </w:rPr>
        <w:t>AFSA</w:t>
      </w:r>
      <w:r>
        <w:rPr>
          <w:rFonts w:ascii="Arial" w:hAnsi="Arial" w:cs="Arial"/>
          <w:sz w:val="28"/>
          <w:szCs w:val="28"/>
        </w:rPr>
        <w:t xml:space="preserve"> monitors the level of risks of the Participants. When considering individual </w:t>
      </w:r>
      <w:r w:rsidR="00402A69">
        <w:rPr>
          <w:rFonts w:ascii="Arial" w:hAnsi="Arial" w:cs="Arial"/>
          <w:sz w:val="28"/>
          <w:szCs w:val="28"/>
        </w:rPr>
        <w:t>DASPs</w:t>
      </w:r>
      <w:r>
        <w:rPr>
          <w:rFonts w:ascii="Arial" w:hAnsi="Arial" w:cs="Arial"/>
          <w:sz w:val="28"/>
          <w:szCs w:val="28"/>
        </w:rPr>
        <w:t xml:space="preserve"> or specific products, services or activities related to </w:t>
      </w:r>
      <w:r w:rsidR="00402A69">
        <w:rPr>
          <w:rFonts w:ascii="Arial" w:hAnsi="Arial" w:cs="Arial"/>
          <w:sz w:val="28"/>
          <w:szCs w:val="28"/>
        </w:rPr>
        <w:t>D</w:t>
      </w:r>
      <w:r>
        <w:rPr>
          <w:rFonts w:ascii="Arial" w:hAnsi="Arial" w:cs="Arial"/>
          <w:sz w:val="28"/>
          <w:szCs w:val="28"/>
        </w:rPr>
        <w:t xml:space="preserve">As, the </w:t>
      </w:r>
      <w:r w:rsidR="00402A69">
        <w:rPr>
          <w:rFonts w:ascii="Arial" w:hAnsi="Arial" w:cs="Arial"/>
          <w:sz w:val="28"/>
          <w:szCs w:val="28"/>
        </w:rPr>
        <w:t>AFSA</w:t>
      </w:r>
      <w:r>
        <w:rPr>
          <w:rFonts w:ascii="Arial" w:hAnsi="Arial" w:cs="Arial"/>
          <w:sz w:val="28"/>
          <w:szCs w:val="28"/>
        </w:rPr>
        <w:t xml:space="preserve"> takes into account the level of risk associated with </w:t>
      </w:r>
      <w:r w:rsidR="00402A69">
        <w:rPr>
          <w:rFonts w:ascii="Arial" w:hAnsi="Arial" w:cs="Arial"/>
          <w:sz w:val="28"/>
          <w:szCs w:val="28"/>
        </w:rPr>
        <w:t>DASP</w:t>
      </w:r>
      <w:r>
        <w:rPr>
          <w:rFonts w:ascii="Arial" w:hAnsi="Arial" w:cs="Arial"/>
          <w:sz w:val="28"/>
          <w:szCs w:val="28"/>
        </w:rPr>
        <w:t xml:space="preserve"> products and services, business models, corporate governance systems, financial information, supply channels, characteristics of the customer base, geographical location, countries in which it operates, and the level of implementation of AML/CFT measures by </w:t>
      </w:r>
      <w:r w:rsidR="00402A69">
        <w:rPr>
          <w:rFonts w:ascii="Arial" w:hAnsi="Arial" w:cs="Arial"/>
          <w:sz w:val="28"/>
          <w:szCs w:val="28"/>
        </w:rPr>
        <w:t>DASPs</w:t>
      </w:r>
      <w:r>
        <w:rPr>
          <w:rFonts w:ascii="Arial" w:hAnsi="Arial" w:cs="Arial"/>
          <w:sz w:val="28"/>
          <w:szCs w:val="28"/>
        </w:rPr>
        <w:t xml:space="preserve">, as well as the risks associated with specific products based on virtual assets that have the potential to mask transactions or reduce the ability of </w:t>
      </w:r>
      <w:r w:rsidR="00917B18">
        <w:rPr>
          <w:rFonts w:ascii="Arial" w:hAnsi="Arial" w:cs="Arial"/>
          <w:sz w:val="28"/>
          <w:szCs w:val="28"/>
        </w:rPr>
        <w:t>DASP</w:t>
      </w:r>
      <w:r>
        <w:rPr>
          <w:rFonts w:ascii="Arial" w:hAnsi="Arial" w:cs="Arial"/>
          <w:sz w:val="28"/>
          <w:szCs w:val="28"/>
        </w:rPr>
        <w:t xml:space="preserve">s and supervisors to apply effective AML/CFT measures. </w:t>
      </w:r>
    </w:p>
    <w:p w14:paraId="4F3E2195" w14:textId="2C56752D" w:rsidR="008207B4" w:rsidRPr="007B3F28" w:rsidRDefault="00E7480D" w:rsidP="003B475F">
      <w:pPr>
        <w:pStyle w:val="ListParagraph"/>
        <w:spacing w:line="360" w:lineRule="auto"/>
        <w:ind w:left="0"/>
        <w:contextualSpacing w:val="0"/>
        <w:jc w:val="both"/>
        <w:rPr>
          <w:rFonts w:ascii="Arial" w:hAnsi="Arial" w:cs="Arial"/>
          <w:sz w:val="28"/>
          <w:szCs w:val="28"/>
        </w:rPr>
      </w:pPr>
      <w:r w:rsidRPr="003B475F">
        <w:rPr>
          <w:rFonts w:ascii="Arial" w:hAnsi="Arial" w:cs="Arial"/>
          <w:sz w:val="28"/>
          <w:szCs w:val="28"/>
        </w:rPr>
        <w:t xml:space="preserve">The </w:t>
      </w:r>
      <w:r w:rsidR="00402A69">
        <w:rPr>
          <w:rFonts w:ascii="Arial" w:hAnsi="Arial" w:cs="Arial"/>
          <w:sz w:val="28"/>
          <w:szCs w:val="28"/>
        </w:rPr>
        <w:t>AFSA</w:t>
      </w:r>
      <w:r w:rsidRPr="003B475F">
        <w:rPr>
          <w:rFonts w:ascii="Arial" w:hAnsi="Arial" w:cs="Arial"/>
          <w:sz w:val="28"/>
          <w:szCs w:val="28"/>
        </w:rPr>
        <w:t xml:space="preserve"> also pays particular attention to the controls implemented by </w:t>
      </w:r>
      <w:r w:rsidR="00917B18">
        <w:rPr>
          <w:rFonts w:ascii="Arial" w:hAnsi="Arial" w:cs="Arial"/>
          <w:sz w:val="28"/>
          <w:szCs w:val="28"/>
        </w:rPr>
        <w:t>DASP</w:t>
      </w:r>
      <w:r w:rsidRPr="003B475F">
        <w:rPr>
          <w:rFonts w:ascii="Arial" w:hAnsi="Arial" w:cs="Arial"/>
          <w:sz w:val="28"/>
          <w:szCs w:val="28"/>
        </w:rPr>
        <w:t xml:space="preserve">s, including the quality of their risk management policies and procedures and the functioning of their internal controls. In addition, information on the degree of professional suitability and integrity of </w:t>
      </w:r>
      <w:r w:rsidR="00917B18">
        <w:rPr>
          <w:rFonts w:ascii="Arial" w:hAnsi="Arial" w:cs="Arial"/>
          <w:sz w:val="28"/>
          <w:szCs w:val="28"/>
        </w:rPr>
        <w:t xml:space="preserve">DASPs </w:t>
      </w:r>
      <w:r w:rsidRPr="003B475F">
        <w:rPr>
          <w:rFonts w:ascii="Arial" w:hAnsi="Arial" w:cs="Arial"/>
          <w:sz w:val="28"/>
          <w:szCs w:val="28"/>
        </w:rPr>
        <w:t xml:space="preserve">managers, AML/CFT officers, the availability of compliance services and internal audit is necessarily </w:t>
      </w:r>
      <w:proofErr w:type="gramStart"/>
      <w:r w:rsidRPr="003B475F">
        <w:rPr>
          <w:rFonts w:ascii="Arial" w:hAnsi="Arial" w:cs="Arial"/>
          <w:sz w:val="28"/>
          <w:szCs w:val="28"/>
        </w:rPr>
        <w:t>taken into account</w:t>
      </w:r>
      <w:proofErr w:type="gramEnd"/>
      <w:r w:rsidRPr="003B475F">
        <w:rPr>
          <w:rFonts w:ascii="Arial" w:hAnsi="Arial" w:cs="Arial"/>
          <w:sz w:val="28"/>
          <w:szCs w:val="28"/>
        </w:rPr>
        <w:t>.</w:t>
      </w:r>
    </w:p>
    <w:p w14:paraId="5B4E7515" w14:textId="75A9E60A" w:rsidR="008207B4" w:rsidRPr="007B3F28" w:rsidRDefault="008561D0" w:rsidP="003B475F">
      <w:pPr>
        <w:pStyle w:val="ListParagraph"/>
        <w:spacing w:line="360" w:lineRule="auto"/>
        <w:ind w:left="0"/>
        <w:contextualSpacing w:val="0"/>
        <w:jc w:val="both"/>
        <w:rPr>
          <w:rFonts w:ascii="Arial" w:hAnsi="Arial" w:cs="Arial"/>
          <w:i/>
          <w:iCs/>
          <w:sz w:val="20"/>
          <w:szCs w:val="20"/>
          <w:u w:val="single"/>
        </w:rPr>
      </w:pPr>
      <w:r>
        <w:rPr>
          <w:rFonts w:ascii="Arial" w:hAnsi="Arial" w:cs="Arial"/>
          <w:i/>
          <w:iCs/>
          <w:sz w:val="20"/>
          <w:szCs w:val="20"/>
          <w:u w:val="single"/>
        </w:rPr>
        <w:t>Figure 2. ML/TF risk assessment model at the individual and sectoral levels</w:t>
      </w:r>
    </w:p>
    <w:p w14:paraId="42F5729D" w14:textId="721BE567" w:rsidR="008207B4" w:rsidRDefault="008207B4" w:rsidP="003B475F">
      <w:pPr>
        <w:pStyle w:val="ListParagraph"/>
        <w:spacing w:line="360" w:lineRule="auto"/>
        <w:ind w:left="0"/>
        <w:contextualSpacing w:val="0"/>
        <w:jc w:val="both"/>
        <w:rPr>
          <w:rFonts w:ascii="Arial" w:hAnsi="Arial" w:cs="Arial"/>
          <w:b/>
          <w:bCs/>
          <w:sz w:val="28"/>
          <w:szCs w:val="28"/>
          <w:lang w:val="ru-RU"/>
        </w:rPr>
      </w:pPr>
      <w:r w:rsidRPr="00402A69">
        <w:rPr>
          <w:rFonts w:ascii="Arial" w:hAnsi="Arial" w:cs="Arial"/>
          <w:b/>
          <w:bCs/>
          <w:noProof/>
          <w:sz w:val="28"/>
          <w:szCs w:val="28"/>
        </w:rPr>
        <w:drawing>
          <wp:inline distT="0" distB="0" distL="0" distR="0" wp14:anchorId="7ED5C980" wp14:editId="19347A8E">
            <wp:extent cx="5935980" cy="2750820"/>
            <wp:effectExtent l="0" t="0" r="7620" b="0"/>
            <wp:docPr id="9713727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5980" cy="2750820"/>
                    </a:xfrm>
                    <a:prstGeom prst="rect">
                      <a:avLst/>
                    </a:prstGeom>
                    <a:noFill/>
                    <a:ln>
                      <a:noFill/>
                    </a:ln>
                  </pic:spPr>
                </pic:pic>
              </a:graphicData>
            </a:graphic>
          </wp:inline>
        </w:drawing>
      </w:r>
    </w:p>
    <w:p w14:paraId="67DD8C99" w14:textId="58321D33" w:rsidR="00701EB2" w:rsidRPr="007B3F28" w:rsidRDefault="00FE2C40" w:rsidP="003B475F">
      <w:pPr>
        <w:spacing w:line="360" w:lineRule="auto"/>
        <w:jc w:val="both"/>
        <w:rPr>
          <w:rFonts w:ascii="Arial" w:hAnsi="Arial" w:cs="Arial"/>
          <w:sz w:val="28"/>
          <w:szCs w:val="28"/>
        </w:rPr>
      </w:pPr>
      <w:r>
        <w:rPr>
          <w:rFonts w:ascii="Arial" w:hAnsi="Arial" w:cs="Arial"/>
          <w:b/>
          <w:bCs/>
          <w:sz w:val="28"/>
          <w:szCs w:val="28"/>
        </w:rPr>
        <w:lastRenderedPageBreak/>
        <w:t xml:space="preserve">For the purposes described above, the </w:t>
      </w:r>
      <w:r w:rsidR="00917B18">
        <w:rPr>
          <w:rFonts w:ascii="Arial" w:hAnsi="Arial" w:cs="Arial"/>
          <w:b/>
          <w:bCs/>
          <w:sz w:val="28"/>
          <w:szCs w:val="28"/>
        </w:rPr>
        <w:t>AFSA</w:t>
      </w:r>
      <w:r>
        <w:rPr>
          <w:rFonts w:ascii="Arial" w:hAnsi="Arial" w:cs="Arial"/>
          <w:b/>
          <w:bCs/>
          <w:sz w:val="28"/>
          <w:szCs w:val="28"/>
        </w:rPr>
        <w:t xml:space="preserve"> applies a risk assessment model based </w:t>
      </w:r>
      <w:r w:rsidR="00701EB2" w:rsidRPr="003B475F">
        <w:rPr>
          <w:rFonts w:ascii="Arial" w:hAnsi="Arial" w:cs="Arial"/>
          <w:sz w:val="28"/>
          <w:szCs w:val="28"/>
        </w:rPr>
        <w:t>on the classic risk management formula ("Residual risk = inherent risks – existing controls"), where:</w:t>
      </w:r>
    </w:p>
    <w:p w14:paraId="3967A572" w14:textId="77777777" w:rsidR="00701EB2" w:rsidRPr="007B3F28" w:rsidRDefault="00701EB2" w:rsidP="003B475F">
      <w:pPr>
        <w:pStyle w:val="ListParagraph"/>
        <w:numPr>
          <w:ilvl w:val="0"/>
          <w:numId w:val="15"/>
        </w:numPr>
        <w:spacing w:line="360" w:lineRule="auto"/>
        <w:contextualSpacing w:val="0"/>
        <w:jc w:val="both"/>
        <w:rPr>
          <w:rFonts w:ascii="Arial" w:hAnsi="Arial" w:cs="Arial"/>
          <w:sz w:val="28"/>
          <w:szCs w:val="28"/>
        </w:rPr>
      </w:pPr>
      <w:r w:rsidRPr="003B475F">
        <w:rPr>
          <w:rFonts w:ascii="Arial" w:hAnsi="Arial" w:cs="Arial"/>
          <w:sz w:val="28"/>
          <w:szCs w:val="28"/>
        </w:rPr>
        <w:t>The first step is to determine the risk environment:</w:t>
      </w:r>
    </w:p>
    <w:p w14:paraId="5842D46A" w14:textId="77777777" w:rsidR="00701EB2" w:rsidRPr="007B3F28" w:rsidRDefault="00701EB2"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Risk - environment = inherent risks of the organization.</w:t>
      </w:r>
    </w:p>
    <w:p w14:paraId="2763C9DF" w14:textId="7F3E9796" w:rsidR="00701EB2" w:rsidRPr="007B3F28" w:rsidRDefault="00701EB2"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 xml:space="preserve">In this regard, the </w:t>
      </w:r>
      <w:r w:rsidR="00917B18">
        <w:rPr>
          <w:rFonts w:ascii="Arial" w:hAnsi="Arial" w:cs="Arial"/>
          <w:sz w:val="28"/>
          <w:szCs w:val="28"/>
        </w:rPr>
        <w:t>AFSA</w:t>
      </w:r>
      <w:r w:rsidRPr="003B475F">
        <w:rPr>
          <w:rFonts w:ascii="Arial" w:hAnsi="Arial" w:cs="Arial"/>
          <w:sz w:val="28"/>
          <w:szCs w:val="28"/>
        </w:rPr>
        <w:t xml:space="preserve"> </w:t>
      </w:r>
      <w:proofErr w:type="gramStart"/>
      <w:r w:rsidRPr="003B475F">
        <w:rPr>
          <w:rFonts w:ascii="Arial" w:hAnsi="Arial" w:cs="Arial"/>
          <w:sz w:val="28"/>
          <w:szCs w:val="28"/>
        </w:rPr>
        <w:t>takes into account</w:t>
      </w:r>
      <w:proofErr w:type="gramEnd"/>
      <w:r w:rsidRPr="003B475F">
        <w:rPr>
          <w:rFonts w:ascii="Arial" w:hAnsi="Arial" w:cs="Arial"/>
          <w:sz w:val="28"/>
          <w:szCs w:val="28"/>
        </w:rPr>
        <w:t xml:space="preserve"> the fact that fintech companies and related services can stimulate financial innovation and increase efficiency. However, their features also </w:t>
      </w:r>
      <w:proofErr w:type="gramStart"/>
      <w:r w:rsidRPr="003B475F">
        <w:rPr>
          <w:rFonts w:ascii="Arial" w:hAnsi="Arial" w:cs="Arial"/>
          <w:sz w:val="28"/>
          <w:szCs w:val="28"/>
        </w:rPr>
        <w:t>open up</w:t>
      </w:r>
      <w:proofErr w:type="gramEnd"/>
      <w:r w:rsidRPr="003B475F">
        <w:rPr>
          <w:rFonts w:ascii="Arial" w:hAnsi="Arial" w:cs="Arial"/>
          <w:sz w:val="28"/>
          <w:szCs w:val="28"/>
        </w:rPr>
        <w:t xml:space="preserve"> new opportunities for money launderers, terrorist financiers and other criminals to launder criminal proceeds and finance their criminal activities, and also go beyond AML/CFT as a tool for predicate crimes. </w:t>
      </w:r>
    </w:p>
    <w:p w14:paraId="07F04230" w14:textId="314E0BB6" w:rsidR="00701EB2" w:rsidRPr="007B3F28" w:rsidRDefault="00701EB2"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 xml:space="preserve">The model establishes five categories of risks for which the so-called initial vulnerability analysis is carried out or the immediate risk environment of </w:t>
      </w:r>
      <w:r w:rsidR="00917B18">
        <w:rPr>
          <w:rFonts w:ascii="Arial" w:hAnsi="Arial" w:cs="Arial"/>
          <w:sz w:val="28"/>
          <w:szCs w:val="28"/>
        </w:rPr>
        <w:t>DASP</w:t>
      </w:r>
      <w:r w:rsidRPr="003B475F">
        <w:rPr>
          <w:rFonts w:ascii="Arial" w:hAnsi="Arial" w:cs="Arial"/>
          <w:sz w:val="28"/>
          <w:szCs w:val="28"/>
        </w:rPr>
        <w:t xml:space="preserve"> is determined: 1) business, 2) country (geographic), 3) customer, 4) products, services, transactions, 5) product delivery channels.</w:t>
      </w:r>
    </w:p>
    <w:p w14:paraId="2727E4D6" w14:textId="77777777" w:rsidR="00701EB2" w:rsidRPr="007B3F28" w:rsidRDefault="00701EB2"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 xml:space="preserve">In addition to risk categories, </w:t>
      </w:r>
      <w:proofErr w:type="gramStart"/>
      <w:r w:rsidRPr="003B475F">
        <w:rPr>
          <w:rFonts w:ascii="Arial" w:hAnsi="Arial" w:cs="Arial"/>
          <w:sz w:val="28"/>
          <w:szCs w:val="28"/>
        </w:rPr>
        <w:t>in order to</w:t>
      </w:r>
      <w:proofErr w:type="gramEnd"/>
      <w:r w:rsidRPr="003B475F">
        <w:rPr>
          <w:rFonts w:ascii="Arial" w:hAnsi="Arial" w:cs="Arial"/>
          <w:sz w:val="28"/>
          <w:szCs w:val="28"/>
        </w:rPr>
        <w:t xml:space="preserve"> more accurately determine the source of risk origin (root-cause), the Model contains a list of risk factors for each of the listed risk categories (i.e., factors contributing to the occurrence of a risk or threat).</w:t>
      </w:r>
    </w:p>
    <w:p w14:paraId="40829E77" w14:textId="77777777" w:rsidR="00701EB2" w:rsidRPr="007B3F28" w:rsidRDefault="00701EB2"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These risk categories are determined by the degree of "probability" and "impact" using a matrix. As a result, one of the following ratings is set: "Significant", "High", "</w:t>
      </w:r>
      <w:r w:rsidRPr="00A923F5">
        <w:rPr>
          <w:rFonts w:ascii="Arial" w:hAnsi="Arial" w:cs="Arial"/>
          <w:sz w:val="28"/>
          <w:szCs w:val="28"/>
        </w:rPr>
        <w:t>Medium",</w:t>
      </w:r>
      <w:r w:rsidRPr="003B475F">
        <w:rPr>
          <w:rFonts w:ascii="Arial" w:hAnsi="Arial" w:cs="Arial"/>
          <w:sz w:val="28"/>
          <w:szCs w:val="28"/>
        </w:rPr>
        <w:t xml:space="preserve"> "Low".</w:t>
      </w:r>
    </w:p>
    <w:p w14:paraId="6E0601F6" w14:textId="77777777" w:rsidR="00701EB2" w:rsidRPr="007B3F28" w:rsidRDefault="00701EB2" w:rsidP="003B475F">
      <w:pPr>
        <w:pStyle w:val="ListParagraph"/>
        <w:numPr>
          <w:ilvl w:val="0"/>
          <w:numId w:val="15"/>
        </w:numPr>
        <w:spacing w:line="360" w:lineRule="auto"/>
        <w:contextualSpacing w:val="0"/>
        <w:jc w:val="both"/>
        <w:rPr>
          <w:rFonts w:ascii="Arial" w:hAnsi="Arial" w:cs="Arial"/>
          <w:sz w:val="28"/>
          <w:szCs w:val="28"/>
        </w:rPr>
      </w:pPr>
      <w:r w:rsidRPr="003B475F">
        <w:rPr>
          <w:rFonts w:ascii="Arial" w:hAnsi="Arial" w:cs="Arial"/>
          <w:sz w:val="28"/>
          <w:szCs w:val="28"/>
        </w:rPr>
        <w:t>The next step is to determine the available controls:</w:t>
      </w:r>
    </w:p>
    <w:p w14:paraId="77862630" w14:textId="77777777" w:rsidR="00701EB2" w:rsidRPr="007B3F28" w:rsidRDefault="00701EB2"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 xml:space="preserve">At the same time, the key aspect of the assessment of controls is the criteria according to which the degree of their effectiveness and their </w:t>
      </w:r>
      <w:r w:rsidRPr="003B475F">
        <w:rPr>
          <w:rFonts w:ascii="Arial" w:hAnsi="Arial" w:cs="Arial"/>
          <w:sz w:val="28"/>
          <w:szCs w:val="28"/>
        </w:rPr>
        <w:lastRenderedPageBreak/>
        <w:t xml:space="preserve">quality are analyzed, namely: 1) Design, 2) Implementation, 3) Monitoring, 4) Evaluation. </w:t>
      </w:r>
    </w:p>
    <w:p w14:paraId="7073E7F6" w14:textId="73E85E51" w:rsidR="00701EB2" w:rsidRPr="007B3F28" w:rsidRDefault="21594B3B" w:rsidP="68A3C7B1">
      <w:pPr>
        <w:pStyle w:val="ListParagraph"/>
        <w:spacing w:line="360" w:lineRule="auto"/>
        <w:jc w:val="both"/>
        <w:rPr>
          <w:rFonts w:ascii="Arial" w:hAnsi="Arial" w:cs="Arial"/>
          <w:sz w:val="28"/>
          <w:szCs w:val="28"/>
        </w:rPr>
      </w:pPr>
      <w:r w:rsidRPr="68A3C7B1">
        <w:rPr>
          <w:rFonts w:ascii="Arial" w:hAnsi="Arial" w:cs="Arial"/>
          <w:sz w:val="28"/>
          <w:szCs w:val="28"/>
        </w:rPr>
        <w:t xml:space="preserve">Each of the eight elements of VASP internal controls 1) Corporate Governance, Organization of Internal Controls, 2) Quality of Policies and Procedures, 3) </w:t>
      </w:r>
      <w:r w:rsidRPr="00A923F5">
        <w:rPr>
          <w:rFonts w:ascii="Arial" w:hAnsi="Arial" w:cs="Arial"/>
          <w:sz w:val="28"/>
          <w:szCs w:val="28"/>
        </w:rPr>
        <w:t>CDD,</w:t>
      </w:r>
      <w:r w:rsidRPr="68A3C7B1">
        <w:rPr>
          <w:rFonts w:ascii="Arial" w:hAnsi="Arial" w:cs="Arial"/>
          <w:sz w:val="28"/>
          <w:szCs w:val="28"/>
        </w:rPr>
        <w:t xml:space="preserve"> 4) Monitoring of Customer Transactions, 5) Risk Model, 6) Risk Monitoring, 7) Awareness, 8) Internal Audit) is evaluated against these four criteria and assigned a corresponding score. Then the number of points is measured as a percentage of the maximum value and one of the following ratings is displayed: "Effective", "Sufficiently effective", "Partially effective", "Ineffective".  </w:t>
      </w:r>
    </w:p>
    <w:p w14:paraId="2996B132" w14:textId="43417CDC" w:rsidR="00701EB2" w:rsidRPr="007B3F28" w:rsidRDefault="00FE2C40"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 xml:space="preserve">After receiving the final value for each control, the arithmetic mean for all controls is calculated and the corresponding rating is assigned. At the same time, the analysis and assessment are carried out </w:t>
      </w:r>
      <w:proofErr w:type="gramStart"/>
      <w:r w:rsidRPr="003B475F">
        <w:rPr>
          <w:rFonts w:ascii="Arial" w:hAnsi="Arial" w:cs="Arial"/>
          <w:sz w:val="28"/>
          <w:szCs w:val="28"/>
        </w:rPr>
        <w:t>taking into account</w:t>
      </w:r>
      <w:proofErr w:type="gramEnd"/>
      <w:r w:rsidRPr="003B475F">
        <w:rPr>
          <w:rFonts w:ascii="Arial" w:hAnsi="Arial" w:cs="Arial"/>
          <w:sz w:val="28"/>
          <w:szCs w:val="28"/>
        </w:rPr>
        <w:t xml:space="preserve"> the expert analysis of quantitative and qualitative data/information collected for the purpose of risk assessment, as well as on the basis of available expert judgments.</w:t>
      </w:r>
    </w:p>
    <w:p w14:paraId="15188323" w14:textId="59FA59FE" w:rsidR="00701EB2" w:rsidRPr="007B3F28" w:rsidRDefault="00701EB2" w:rsidP="003B475F">
      <w:pPr>
        <w:pStyle w:val="ListParagraph"/>
        <w:spacing w:line="360" w:lineRule="auto"/>
        <w:contextualSpacing w:val="0"/>
        <w:jc w:val="both"/>
        <w:rPr>
          <w:rFonts w:ascii="Arial" w:hAnsi="Arial" w:cs="Arial"/>
          <w:sz w:val="28"/>
          <w:szCs w:val="28"/>
        </w:rPr>
      </w:pPr>
      <w:r w:rsidRPr="003B475F">
        <w:rPr>
          <w:rFonts w:ascii="Arial" w:hAnsi="Arial" w:cs="Arial"/>
          <w:sz w:val="28"/>
          <w:szCs w:val="28"/>
        </w:rPr>
        <w:t>In this way, the Model shows how the available VASP controls allow for the mitigation and management of the inherent risks or risk environment of VASP.</w:t>
      </w:r>
    </w:p>
    <w:p w14:paraId="686BA37D" w14:textId="77777777" w:rsidR="00701EB2" w:rsidRPr="007B3F28" w:rsidRDefault="00701EB2" w:rsidP="003B475F">
      <w:pPr>
        <w:pStyle w:val="ListParagraph"/>
        <w:numPr>
          <w:ilvl w:val="0"/>
          <w:numId w:val="15"/>
        </w:numPr>
        <w:spacing w:line="360" w:lineRule="auto"/>
        <w:contextualSpacing w:val="0"/>
        <w:jc w:val="both"/>
        <w:rPr>
          <w:rFonts w:ascii="Arial" w:hAnsi="Arial" w:cs="Arial"/>
          <w:sz w:val="28"/>
          <w:szCs w:val="28"/>
        </w:rPr>
      </w:pPr>
      <w:r w:rsidRPr="003B475F">
        <w:rPr>
          <w:rFonts w:ascii="Arial" w:hAnsi="Arial" w:cs="Arial"/>
          <w:sz w:val="28"/>
          <w:szCs w:val="28"/>
        </w:rPr>
        <w:t>Ultimately, a qualitative and quantitative assessment of the VASP is obtained, which is transferred to the appropriate matrix to determine the residual risk rating.</w:t>
      </w:r>
    </w:p>
    <w:p w14:paraId="7086ADA2" w14:textId="42FD363C" w:rsidR="00FE2C40" w:rsidRPr="00A923F5" w:rsidRDefault="00701EB2" w:rsidP="00A923F5">
      <w:pPr>
        <w:pStyle w:val="ListParagraph"/>
        <w:spacing w:line="360" w:lineRule="auto"/>
        <w:contextualSpacing w:val="0"/>
        <w:jc w:val="both"/>
        <w:rPr>
          <w:rFonts w:ascii="Arial" w:hAnsi="Arial" w:cs="Arial"/>
          <w:sz w:val="28"/>
          <w:szCs w:val="28"/>
        </w:rPr>
      </w:pPr>
      <w:r w:rsidRPr="003B475F">
        <w:rPr>
          <w:rFonts w:ascii="Arial" w:hAnsi="Arial" w:cs="Arial"/>
          <w:sz w:val="28"/>
          <w:szCs w:val="28"/>
        </w:rPr>
        <w:t>Residual ratings are classified as follows: Significant, High, Moderate, Low.</w:t>
      </w:r>
    </w:p>
    <w:p w14:paraId="32B24A82" w14:textId="7B86D474" w:rsidR="003A0796" w:rsidRPr="007B3F28" w:rsidRDefault="00D85AB5" w:rsidP="003B475F">
      <w:pPr>
        <w:spacing w:line="360" w:lineRule="auto"/>
        <w:jc w:val="both"/>
        <w:rPr>
          <w:rFonts w:ascii="Arial" w:hAnsi="Arial" w:cs="Arial"/>
          <w:b/>
          <w:bCs/>
          <w:sz w:val="28"/>
          <w:szCs w:val="28"/>
        </w:rPr>
      </w:pPr>
      <w:r>
        <w:rPr>
          <w:rFonts w:ascii="Arial" w:hAnsi="Arial" w:cs="Arial"/>
          <w:b/>
          <w:bCs/>
          <w:sz w:val="28"/>
          <w:szCs w:val="28"/>
        </w:rPr>
        <w:t xml:space="preserve">Summary of risks associated with </w:t>
      </w:r>
      <w:r w:rsidR="00917B18">
        <w:rPr>
          <w:rFonts w:ascii="Arial" w:hAnsi="Arial" w:cs="Arial"/>
          <w:b/>
          <w:bCs/>
          <w:sz w:val="28"/>
          <w:szCs w:val="28"/>
        </w:rPr>
        <w:t>DASPs</w:t>
      </w:r>
      <w:r>
        <w:rPr>
          <w:rFonts w:ascii="Arial" w:hAnsi="Arial" w:cs="Arial"/>
          <w:b/>
          <w:bCs/>
          <w:sz w:val="28"/>
          <w:szCs w:val="28"/>
        </w:rPr>
        <w:t xml:space="preserve"> clients and AIFC measures to mitigate them</w:t>
      </w:r>
    </w:p>
    <w:p w14:paraId="0F653FAF" w14:textId="49AB3DC5" w:rsidR="00F24530" w:rsidRPr="007B3F28" w:rsidRDefault="00F24530" w:rsidP="003B475F">
      <w:pPr>
        <w:spacing w:line="360" w:lineRule="auto"/>
        <w:jc w:val="both"/>
        <w:rPr>
          <w:rFonts w:ascii="Arial" w:hAnsi="Arial" w:cs="Arial"/>
          <w:sz w:val="28"/>
          <w:szCs w:val="28"/>
        </w:rPr>
      </w:pPr>
      <w:r w:rsidRPr="223F6DF2">
        <w:rPr>
          <w:rFonts w:ascii="Arial" w:hAnsi="Arial" w:cs="Arial"/>
          <w:sz w:val="28"/>
          <w:szCs w:val="28"/>
        </w:rPr>
        <w:t xml:space="preserve">In accordance with the requirements of the AIFC, each of the </w:t>
      </w:r>
      <w:r w:rsidR="00917B18">
        <w:rPr>
          <w:rFonts w:ascii="Arial" w:hAnsi="Arial" w:cs="Arial"/>
          <w:sz w:val="28"/>
          <w:szCs w:val="28"/>
        </w:rPr>
        <w:t>DASPs</w:t>
      </w:r>
      <w:r w:rsidRPr="223F6DF2">
        <w:rPr>
          <w:rFonts w:ascii="Arial" w:hAnsi="Arial" w:cs="Arial"/>
          <w:sz w:val="28"/>
          <w:szCs w:val="28"/>
        </w:rPr>
        <w:t xml:space="preserve"> clients undergoes an assessment for the level of risk of </w:t>
      </w:r>
      <w:r w:rsidR="00917B18">
        <w:rPr>
          <w:rFonts w:ascii="Arial" w:hAnsi="Arial" w:cs="Arial"/>
          <w:sz w:val="28"/>
          <w:szCs w:val="28"/>
        </w:rPr>
        <w:t>DASP</w:t>
      </w:r>
      <w:r w:rsidRPr="223F6DF2">
        <w:rPr>
          <w:rFonts w:ascii="Arial" w:hAnsi="Arial" w:cs="Arial"/>
          <w:sz w:val="28"/>
          <w:szCs w:val="28"/>
        </w:rPr>
        <w:t xml:space="preserve">. </w:t>
      </w:r>
    </w:p>
    <w:p w14:paraId="2D16F289" w14:textId="77978DB1" w:rsidR="00B36A34" w:rsidRPr="007B3F28" w:rsidRDefault="006E0D10" w:rsidP="003B475F">
      <w:pPr>
        <w:spacing w:line="360" w:lineRule="auto"/>
        <w:jc w:val="both"/>
        <w:rPr>
          <w:rFonts w:ascii="Arial" w:hAnsi="Arial" w:cs="Arial"/>
          <w:sz w:val="28"/>
          <w:szCs w:val="28"/>
        </w:rPr>
      </w:pPr>
      <w:r w:rsidRPr="006E0D10">
        <w:rPr>
          <w:rFonts w:ascii="Arial" w:hAnsi="Arial" w:cs="Arial"/>
          <w:sz w:val="28"/>
          <w:szCs w:val="28"/>
        </w:rPr>
        <w:lastRenderedPageBreak/>
        <w:t>Clients are residents of the following countries/territories: Kazakhstan, Russia, Central Asian countries, Turkey, Nigeria, etc.</w:t>
      </w:r>
    </w:p>
    <w:p w14:paraId="6869E223" w14:textId="56240E9E" w:rsidR="006E0D10" w:rsidRPr="007B3F28" w:rsidRDefault="006E0D10" w:rsidP="003B475F">
      <w:pPr>
        <w:spacing w:line="360" w:lineRule="auto"/>
        <w:jc w:val="both"/>
        <w:rPr>
          <w:rFonts w:ascii="Arial" w:hAnsi="Arial" w:cs="Arial"/>
          <w:sz w:val="28"/>
          <w:szCs w:val="28"/>
        </w:rPr>
      </w:pPr>
      <w:r w:rsidRPr="006E0D10">
        <w:rPr>
          <w:rFonts w:ascii="Arial" w:hAnsi="Arial" w:cs="Arial"/>
          <w:sz w:val="28"/>
          <w:szCs w:val="28"/>
        </w:rPr>
        <w:t xml:space="preserve">Mostly, clients are residents of Kazakhstan, while the share of non-residents is small. The following is a chart on the number of AIFC MACA clients, compiled </w:t>
      </w:r>
      <w:proofErr w:type="gramStart"/>
      <w:r w:rsidRPr="006E0D10">
        <w:rPr>
          <w:rFonts w:ascii="Arial" w:hAnsi="Arial" w:cs="Arial"/>
          <w:sz w:val="28"/>
          <w:szCs w:val="28"/>
        </w:rPr>
        <w:t>on the basis of</w:t>
      </w:r>
      <w:proofErr w:type="gramEnd"/>
      <w:r w:rsidRPr="006E0D10">
        <w:rPr>
          <w:rFonts w:ascii="Arial" w:hAnsi="Arial" w:cs="Arial"/>
          <w:sz w:val="28"/>
          <w:szCs w:val="28"/>
        </w:rPr>
        <w:t xml:space="preserve"> the annual reports of the AIFC Authority submitted to the AIFC Authority by the end of February. </w:t>
      </w:r>
      <w:bookmarkStart w:id="29" w:name="_Hlk167892784"/>
      <w:bookmarkEnd w:id="29"/>
    </w:p>
    <w:p w14:paraId="0518AE90" w14:textId="7817698A" w:rsidR="000475C8" w:rsidRPr="007B3F28" w:rsidRDefault="000475C8" w:rsidP="003B475F">
      <w:pPr>
        <w:spacing w:line="360" w:lineRule="auto"/>
        <w:jc w:val="both"/>
        <w:rPr>
          <w:rFonts w:ascii="Arial" w:hAnsi="Arial" w:cs="Arial"/>
          <w:i/>
          <w:iCs/>
          <w:sz w:val="24"/>
          <w:szCs w:val="24"/>
        </w:rPr>
      </w:pPr>
      <w:r w:rsidRPr="003B475F">
        <w:rPr>
          <w:rFonts w:ascii="Arial" w:hAnsi="Arial" w:cs="Arial"/>
          <w:i/>
          <w:iCs/>
          <w:sz w:val="24"/>
          <w:szCs w:val="24"/>
        </w:rPr>
        <w:t xml:space="preserve">Fig.3 Number of AIFC </w:t>
      </w:r>
      <w:r w:rsidR="00917B18">
        <w:rPr>
          <w:rFonts w:ascii="Arial" w:hAnsi="Arial" w:cs="Arial"/>
          <w:i/>
          <w:iCs/>
          <w:sz w:val="24"/>
          <w:szCs w:val="24"/>
        </w:rPr>
        <w:t>DASPs</w:t>
      </w:r>
      <w:r w:rsidRPr="003B475F">
        <w:rPr>
          <w:rFonts w:ascii="Arial" w:hAnsi="Arial" w:cs="Arial"/>
          <w:i/>
          <w:iCs/>
          <w:sz w:val="24"/>
          <w:szCs w:val="24"/>
        </w:rPr>
        <w:t xml:space="preserve"> clients by country and region</w:t>
      </w:r>
    </w:p>
    <w:p w14:paraId="313A524B" w14:textId="5A7F67A8" w:rsidR="00DF5AAA" w:rsidRPr="003B475F" w:rsidRDefault="08AFA9F4" w:rsidP="68A3C7B1">
      <w:pPr>
        <w:spacing w:after="0" w:line="360" w:lineRule="auto"/>
      </w:pPr>
      <w:r>
        <w:rPr>
          <w:noProof/>
        </w:rPr>
        <w:drawing>
          <wp:inline distT="0" distB="0" distL="0" distR="0" wp14:anchorId="2A09808E" wp14:editId="38C2F700">
            <wp:extent cx="5667374" cy="3362325"/>
            <wp:effectExtent l="0" t="0" r="0" b="0"/>
            <wp:docPr id="216005839" name="Picture 21600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67374" cy="3362325"/>
                    </a:xfrm>
                    <a:prstGeom prst="rect">
                      <a:avLst/>
                    </a:prstGeom>
                  </pic:spPr>
                </pic:pic>
              </a:graphicData>
            </a:graphic>
          </wp:inline>
        </w:drawing>
      </w:r>
    </w:p>
    <w:p w14:paraId="3F6EDC4B" w14:textId="3554DF72" w:rsidR="00DF5AAA" w:rsidRPr="003B475F" w:rsidRDefault="00DF5AAA" w:rsidP="003B475F">
      <w:pPr>
        <w:spacing w:line="360" w:lineRule="auto"/>
        <w:rPr>
          <w:lang w:val="ru-RU"/>
        </w:rPr>
      </w:pPr>
    </w:p>
    <w:p w14:paraId="65C85D2D" w14:textId="512C03C3" w:rsidR="006E0D10" w:rsidRPr="007B3F28" w:rsidRDefault="006E0D10" w:rsidP="003B475F">
      <w:pPr>
        <w:spacing w:line="360" w:lineRule="auto"/>
        <w:jc w:val="both"/>
        <w:rPr>
          <w:rFonts w:ascii="Arial" w:hAnsi="Arial" w:cs="Arial"/>
          <w:sz w:val="28"/>
          <w:szCs w:val="28"/>
        </w:rPr>
      </w:pPr>
      <w:r w:rsidRPr="006E0D10">
        <w:rPr>
          <w:rFonts w:ascii="Arial" w:hAnsi="Arial" w:cs="Arial"/>
          <w:sz w:val="28"/>
          <w:szCs w:val="28"/>
        </w:rPr>
        <w:t xml:space="preserve">Non-resident customers from the following countries may pose an increased AML/CFT risk:  </w:t>
      </w:r>
    </w:p>
    <w:p w14:paraId="1922E1E8" w14:textId="7CDFF45C" w:rsidR="006E0D10" w:rsidRPr="007B3F28" w:rsidRDefault="006E0D10" w:rsidP="003B475F">
      <w:pPr>
        <w:spacing w:line="360" w:lineRule="auto"/>
        <w:jc w:val="both"/>
        <w:rPr>
          <w:rFonts w:ascii="Arial" w:hAnsi="Arial" w:cs="Arial"/>
          <w:sz w:val="28"/>
          <w:szCs w:val="28"/>
        </w:rPr>
      </w:pPr>
      <w:r w:rsidRPr="006E0D10">
        <w:rPr>
          <w:rFonts w:ascii="Arial" w:hAnsi="Arial" w:cs="Arial"/>
          <w:sz w:val="28"/>
          <w:szCs w:val="28"/>
        </w:rPr>
        <w:t xml:space="preserve">Turkey (on the list of the FATF group under enhanced monitoring),  </w:t>
      </w:r>
    </w:p>
    <w:p w14:paraId="64665311" w14:textId="546697A7" w:rsidR="006E0D10" w:rsidRPr="007B3F28" w:rsidRDefault="006E0D10" w:rsidP="003B475F">
      <w:pPr>
        <w:spacing w:line="360" w:lineRule="auto"/>
        <w:jc w:val="both"/>
        <w:rPr>
          <w:rFonts w:ascii="Arial" w:hAnsi="Arial" w:cs="Arial"/>
          <w:sz w:val="28"/>
          <w:szCs w:val="28"/>
        </w:rPr>
      </w:pPr>
      <w:r w:rsidRPr="006E0D10">
        <w:rPr>
          <w:rFonts w:ascii="Arial" w:hAnsi="Arial" w:cs="Arial"/>
          <w:sz w:val="28"/>
          <w:szCs w:val="28"/>
        </w:rPr>
        <w:t>South Africa (</w:t>
      </w:r>
      <w:r w:rsidR="00917B18" w:rsidRPr="006E0D10">
        <w:rPr>
          <w:rFonts w:ascii="Arial" w:hAnsi="Arial" w:cs="Arial"/>
          <w:sz w:val="28"/>
          <w:szCs w:val="28"/>
        </w:rPr>
        <w:t>on the list of the FATF group under enhanced monitoring</w:t>
      </w:r>
      <w:r w:rsidRPr="006E0D10">
        <w:rPr>
          <w:rFonts w:ascii="Arial" w:hAnsi="Arial" w:cs="Arial"/>
          <w:sz w:val="28"/>
          <w:szCs w:val="28"/>
        </w:rPr>
        <w:t xml:space="preserve">),  </w:t>
      </w:r>
    </w:p>
    <w:p w14:paraId="0827E472" w14:textId="33616D98" w:rsidR="006E0D10" w:rsidRDefault="006E0D10" w:rsidP="003B475F">
      <w:pPr>
        <w:spacing w:line="360" w:lineRule="auto"/>
        <w:jc w:val="both"/>
        <w:rPr>
          <w:rFonts w:ascii="Arial" w:hAnsi="Arial" w:cs="Arial"/>
          <w:sz w:val="28"/>
          <w:szCs w:val="28"/>
        </w:rPr>
      </w:pPr>
      <w:r w:rsidRPr="335D007E">
        <w:rPr>
          <w:rFonts w:ascii="Arial" w:hAnsi="Arial" w:cs="Arial"/>
          <w:sz w:val="28"/>
          <w:szCs w:val="28"/>
        </w:rPr>
        <w:t xml:space="preserve">UAE (until </w:t>
      </w:r>
      <w:r w:rsidR="00714CDE">
        <w:rPr>
          <w:rFonts w:ascii="Arial" w:hAnsi="Arial" w:cs="Arial"/>
          <w:sz w:val="28"/>
          <w:szCs w:val="28"/>
        </w:rPr>
        <w:t xml:space="preserve">24 </w:t>
      </w:r>
      <w:r w:rsidRPr="335D007E">
        <w:rPr>
          <w:rFonts w:ascii="Arial" w:hAnsi="Arial" w:cs="Arial"/>
          <w:sz w:val="28"/>
          <w:szCs w:val="28"/>
        </w:rPr>
        <w:t xml:space="preserve">February 2024 were on the list of countries with enhanced monitoring).  </w:t>
      </w:r>
    </w:p>
    <w:p w14:paraId="55D6060A" w14:textId="77777777" w:rsidR="00714CDE" w:rsidRPr="007B3F28" w:rsidRDefault="00714CDE" w:rsidP="003B475F">
      <w:pPr>
        <w:spacing w:line="360" w:lineRule="auto"/>
        <w:jc w:val="both"/>
        <w:rPr>
          <w:rFonts w:ascii="Arial" w:hAnsi="Arial" w:cs="Arial"/>
          <w:sz w:val="28"/>
          <w:szCs w:val="28"/>
        </w:rPr>
      </w:pPr>
    </w:p>
    <w:tbl>
      <w:tblPr>
        <w:tblStyle w:val="TableGrid"/>
        <w:tblW w:w="0" w:type="auto"/>
        <w:tblLook w:val="04A0" w:firstRow="1" w:lastRow="0" w:firstColumn="1" w:lastColumn="0" w:noHBand="0" w:noVBand="1"/>
      </w:tblPr>
      <w:tblGrid>
        <w:gridCol w:w="9345"/>
      </w:tblGrid>
      <w:tr w:rsidR="007E69A5" w:rsidRPr="00D12FAD" w14:paraId="14D5C3D4" w14:textId="77777777" w:rsidTr="68A3C7B1">
        <w:tc>
          <w:tcPr>
            <w:tcW w:w="9345" w:type="dxa"/>
            <w:shd w:val="clear" w:color="auto" w:fill="DBDBDB" w:themeFill="accent3" w:themeFillTint="66"/>
          </w:tcPr>
          <w:p w14:paraId="03CF9A67" w14:textId="77777777" w:rsidR="007E69A5" w:rsidRPr="007B3F28" w:rsidRDefault="007E69A5" w:rsidP="003B475F">
            <w:pPr>
              <w:spacing w:after="160" w:line="360" w:lineRule="auto"/>
              <w:jc w:val="both"/>
              <w:rPr>
                <w:rFonts w:ascii="Arial" w:hAnsi="Arial" w:cs="Arial"/>
                <w:b/>
                <w:bCs/>
                <w:sz w:val="28"/>
                <w:szCs w:val="28"/>
              </w:rPr>
            </w:pPr>
            <w:r w:rsidRPr="00A923F5">
              <w:rPr>
                <w:rFonts w:ascii="Arial" w:hAnsi="Arial" w:cs="Arial"/>
                <w:b/>
                <w:bCs/>
                <w:sz w:val="28"/>
                <w:szCs w:val="28"/>
              </w:rPr>
              <w:lastRenderedPageBreak/>
              <w:t>Example</w:t>
            </w:r>
            <w:r w:rsidRPr="007E69A5">
              <w:rPr>
                <w:rFonts w:ascii="Arial" w:hAnsi="Arial" w:cs="Arial"/>
                <w:b/>
                <w:bCs/>
                <w:sz w:val="28"/>
                <w:szCs w:val="28"/>
              </w:rPr>
              <w:t>.</w:t>
            </w:r>
          </w:p>
          <w:p w14:paraId="5F171D8E" w14:textId="663727FF" w:rsidR="007E69A5" w:rsidRPr="007B3F28" w:rsidRDefault="13F5B85D" w:rsidP="003B475F">
            <w:pPr>
              <w:spacing w:after="160" w:line="360" w:lineRule="auto"/>
              <w:jc w:val="both"/>
              <w:rPr>
                <w:rFonts w:ascii="Arial" w:hAnsi="Arial" w:cs="Arial"/>
                <w:sz w:val="28"/>
                <w:szCs w:val="28"/>
              </w:rPr>
            </w:pPr>
            <w:r w:rsidRPr="00312199">
              <w:rPr>
                <w:rFonts w:ascii="Arial" w:hAnsi="Arial" w:cs="Arial"/>
                <w:sz w:val="28"/>
                <w:szCs w:val="28"/>
                <w:shd w:val="clear" w:color="auto" w:fill="DBDBDB" w:themeFill="accent3" w:themeFillTint="66"/>
              </w:rPr>
              <w:t xml:space="preserve">A user of a crypto exchange licensed in the AIFC attempted to withdraw </w:t>
            </w:r>
            <w:r w:rsidR="6EEE7145">
              <w:rPr>
                <w:rFonts w:ascii="Arial" w:hAnsi="Arial" w:cs="Arial"/>
                <w:sz w:val="28"/>
                <w:szCs w:val="28"/>
                <w:shd w:val="clear" w:color="auto" w:fill="DBDBDB" w:themeFill="accent3" w:themeFillTint="66"/>
              </w:rPr>
              <w:t>DAs</w:t>
            </w:r>
            <w:r w:rsidRPr="00312199">
              <w:rPr>
                <w:rFonts w:ascii="Arial" w:hAnsi="Arial" w:cs="Arial"/>
                <w:sz w:val="28"/>
                <w:szCs w:val="28"/>
                <w:shd w:val="clear" w:color="auto" w:fill="DBDBDB" w:themeFill="accent3" w:themeFillTint="66"/>
              </w:rPr>
              <w:t xml:space="preserve"> to a wallet registered with a foreign </w:t>
            </w:r>
            <w:r w:rsidR="26651335">
              <w:rPr>
                <w:rFonts w:ascii="Arial" w:hAnsi="Arial" w:cs="Arial"/>
                <w:sz w:val="28"/>
                <w:szCs w:val="28"/>
                <w:shd w:val="clear" w:color="auto" w:fill="DBDBDB" w:themeFill="accent3" w:themeFillTint="66"/>
              </w:rPr>
              <w:t xml:space="preserve">DASP </w:t>
            </w:r>
            <w:r w:rsidRPr="00312199">
              <w:rPr>
                <w:rFonts w:ascii="Arial" w:hAnsi="Arial" w:cs="Arial"/>
                <w:sz w:val="28"/>
                <w:szCs w:val="28"/>
                <w:shd w:val="clear" w:color="auto" w:fill="DBDBDB" w:themeFill="accent3" w:themeFillTint="66"/>
              </w:rPr>
              <w:t>located in a jurisdiction included in the sanction lists. Further investigation established that the user used a wallet opened on a crypto exchange licensed in the AIFC as an intermediate link in the chain to withdraw funds to a sanctioned address. The business relationship with the user has been terminated and the relevant information has been submitted to the FIU within the prescribed time limit.</w:t>
            </w:r>
          </w:p>
        </w:tc>
      </w:tr>
    </w:tbl>
    <w:p w14:paraId="587B7B5F" w14:textId="77777777" w:rsidR="00312199" w:rsidRPr="007B3F28" w:rsidRDefault="00312199" w:rsidP="003B475F">
      <w:pPr>
        <w:spacing w:line="360" w:lineRule="auto"/>
        <w:jc w:val="both"/>
        <w:rPr>
          <w:rFonts w:ascii="Arial" w:hAnsi="Arial" w:cs="Arial"/>
          <w:sz w:val="28"/>
          <w:szCs w:val="28"/>
        </w:rPr>
      </w:pPr>
    </w:p>
    <w:p w14:paraId="5570DE5B" w14:textId="702F972E" w:rsidR="006E0D10" w:rsidRPr="007B3F28" w:rsidRDefault="003E4E30" w:rsidP="003B475F">
      <w:pPr>
        <w:spacing w:line="360" w:lineRule="auto"/>
        <w:jc w:val="both"/>
        <w:rPr>
          <w:rFonts w:ascii="Arial" w:hAnsi="Arial" w:cs="Arial"/>
          <w:sz w:val="28"/>
          <w:szCs w:val="28"/>
        </w:rPr>
      </w:pPr>
      <w:r>
        <w:rPr>
          <w:rFonts w:ascii="Arial" w:hAnsi="Arial" w:cs="Arial"/>
          <w:sz w:val="28"/>
          <w:szCs w:val="28"/>
        </w:rPr>
        <w:t xml:space="preserve">It should be noted that the total number of clients from these countries with an increased risk of ML/TF/sanctions is extremely small. </w:t>
      </w:r>
    </w:p>
    <w:p w14:paraId="3046DE02" w14:textId="07A99F18" w:rsidR="07088CA3" w:rsidRPr="00ED368C" w:rsidRDefault="742B7409" w:rsidP="68A3C7B1">
      <w:pPr>
        <w:spacing w:line="360" w:lineRule="auto"/>
        <w:jc w:val="both"/>
        <w:rPr>
          <w:rFonts w:ascii="Arial" w:hAnsi="Arial" w:cs="Arial"/>
          <w:sz w:val="28"/>
          <w:szCs w:val="28"/>
          <w:highlight w:val="yellow"/>
        </w:rPr>
      </w:pPr>
      <w:r w:rsidRPr="68A3C7B1">
        <w:rPr>
          <w:rFonts w:ascii="Arial" w:hAnsi="Arial" w:cs="Arial"/>
          <w:sz w:val="28"/>
          <w:szCs w:val="28"/>
        </w:rPr>
        <w:t>Additionally, based on the risk assessment of clients, AIFC DASPs identified that 131 clients pose a high AML/CFT risk, accounting for just 0.0025% of the total client base.</w:t>
      </w:r>
    </w:p>
    <w:p w14:paraId="48CE7B1C" w14:textId="7AAA13E1" w:rsidR="006E0D10" w:rsidRPr="007B3F28" w:rsidRDefault="006E0D10" w:rsidP="003B475F">
      <w:pPr>
        <w:spacing w:line="360" w:lineRule="auto"/>
        <w:jc w:val="both"/>
        <w:rPr>
          <w:rFonts w:ascii="Arial" w:hAnsi="Arial" w:cs="Arial"/>
          <w:sz w:val="28"/>
          <w:szCs w:val="28"/>
        </w:rPr>
      </w:pPr>
      <w:r w:rsidRPr="006E0D10">
        <w:rPr>
          <w:rFonts w:ascii="Arial" w:hAnsi="Arial" w:cs="Arial"/>
          <w:sz w:val="28"/>
          <w:szCs w:val="28"/>
        </w:rPr>
        <w:t xml:space="preserve">Thus, we note that AIFC </w:t>
      </w:r>
      <w:r w:rsidR="00917B18">
        <w:rPr>
          <w:rFonts w:ascii="Arial" w:hAnsi="Arial" w:cs="Arial"/>
          <w:sz w:val="28"/>
          <w:szCs w:val="28"/>
        </w:rPr>
        <w:t xml:space="preserve">DASPs </w:t>
      </w:r>
      <w:r w:rsidRPr="006E0D10">
        <w:rPr>
          <w:rFonts w:ascii="Arial" w:hAnsi="Arial" w:cs="Arial"/>
          <w:sz w:val="28"/>
          <w:szCs w:val="28"/>
        </w:rPr>
        <w:t>clients are mainly residents of Kazakhstan, the share of non-residents from countries with a high ML/TF risk is insignificant.</w:t>
      </w:r>
    </w:p>
    <w:p w14:paraId="457FDD9A" w14:textId="02868D15" w:rsidR="006A7985" w:rsidRPr="007B3F28" w:rsidRDefault="5DE25C84" w:rsidP="68A3C7B1">
      <w:pPr>
        <w:spacing w:line="360" w:lineRule="auto"/>
        <w:jc w:val="both"/>
        <w:rPr>
          <w:rFonts w:ascii="Arial" w:hAnsi="Arial" w:cs="Arial"/>
          <w:sz w:val="28"/>
          <w:szCs w:val="28"/>
        </w:rPr>
      </w:pPr>
      <w:r w:rsidRPr="68A3C7B1">
        <w:rPr>
          <w:rFonts w:ascii="Arial" w:hAnsi="Arial" w:cs="Arial"/>
          <w:sz w:val="28"/>
          <w:szCs w:val="28"/>
        </w:rPr>
        <w:t xml:space="preserve">As part of the </w:t>
      </w:r>
      <w:r w:rsidRPr="00A923F5">
        <w:rPr>
          <w:rFonts w:ascii="Arial" w:hAnsi="Arial" w:cs="Arial"/>
          <w:sz w:val="28"/>
          <w:szCs w:val="28"/>
        </w:rPr>
        <w:t xml:space="preserve">oversight, it was established that, in general, </w:t>
      </w:r>
      <w:r w:rsidR="26651335" w:rsidRPr="00A923F5">
        <w:rPr>
          <w:rFonts w:ascii="Arial" w:hAnsi="Arial" w:cs="Arial"/>
          <w:sz w:val="28"/>
          <w:szCs w:val="28"/>
        </w:rPr>
        <w:t>AIFC DASP</w:t>
      </w:r>
      <w:r w:rsidRPr="00A923F5">
        <w:rPr>
          <w:rFonts w:ascii="Arial" w:hAnsi="Arial" w:cs="Arial"/>
          <w:sz w:val="28"/>
          <w:szCs w:val="28"/>
        </w:rPr>
        <w:t xml:space="preserve">s have implemented internal control measures. Namely, </w:t>
      </w:r>
      <w:r w:rsidR="4F9ACE1A" w:rsidRPr="00A923F5">
        <w:rPr>
          <w:rFonts w:ascii="Arial" w:hAnsi="Arial" w:cs="Arial"/>
          <w:sz w:val="28"/>
          <w:szCs w:val="28"/>
        </w:rPr>
        <w:t>they</w:t>
      </w:r>
      <w:r w:rsidRPr="00A923F5">
        <w:rPr>
          <w:rFonts w:ascii="Arial" w:hAnsi="Arial" w:cs="Arial"/>
          <w:sz w:val="28"/>
          <w:szCs w:val="28"/>
        </w:rPr>
        <w:t xml:space="preserve"> developed and approved the </w:t>
      </w:r>
      <w:r w:rsidR="755B273D" w:rsidRPr="00A923F5">
        <w:rPr>
          <w:rFonts w:ascii="Arial" w:hAnsi="Arial" w:cs="Arial"/>
          <w:sz w:val="28"/>
          <w:szCs w:val="28"/>
        </w:rPr>
        <w:t>RIC</w:t>
      </w:r>
      <w:r w:rsidRPr="00A923F5">
        <w:rPr>
          <w:rFonts w:ascii="Arial" w:hAnsi="Arial" w:cs="Arial"/>
          <w:sz w:val="28"/>
          <w:szCs w:val="28"/>
        </w:rPr>
        <w:t xml:space="preserve">, appointed persons responsible for AML/CFT risks, organized an internal control system within organizations, and established interaction between departments and functions. </w:t>
      </w:r>
      <w:r w:rsidR="3E121FC9" w:rsidRPr="00A923F5">
        <w:rPr>
          <w:rFonts w:ascii="Arial" w:hAnsi="Arial" w:cs="Arial"/>
          <w:sz w:val="28"/>
          <w:szCs w:val="28"/>
        </w:rPr>
        <w:t>R</w:t>
      </w:r>
      <w:r w:rsidRPr="00A923F5">
        <w:rPr>
          <w:rFonts w:ascii="Arial" w:hAnsi="Arial" w:cs="Arial"/>
          <w:sz w:val="28"/>
          <w:szCs w:val="28"/>
        </w:rPr>
        <w:t xml:space="preserve">IC are reviewed by the </w:t>
      </w:r>
      <w:r w:rsidR="4F9ACE1A" w:rsidRPr="00A923F5">
        <w:rPr>
          <w:rFonts w:ascii="Arial" w:hAnsi="Arial" w:cs="Arial"/>
          <w:sz w:val="28"/>
          <w:szCs w:val="28"/>
        </w:rPr>
        <w:t>AFSA</w:t>
      </w:r>
      <w:r w:rsidRPr="00A923F5">
        <w:rPr>
          <w:rFonts w:ascii="Arial" w:hAnsi="Arial" w:cs="Arial"/>
          <w:sz w:val="28"/>
          <w:szCs w:val="28"/>
        </w:rPr>
        <w:t xml:space="preserve"> when applying for a </w:t>
      </w:r>
      <w:r w:rsidR="00A923F5" w:rsidRPr="00A923F5">
        <w:rPr>
          <w:rFonts w:ascii="Arial" w:hAnsi="Arial" w:cs="Arial"/>
          <w:sz w:val="28"/>
          <w:szCs w:val="28"/>
        </w:rPr>
        <w:t>license</w:t>
      </w:r>
      <w:r w:rsidRPr="00A923F5">
        <w:rPr>
          <w:rFonts w:ascii="Arial" w:hAnsi="Arial" w:cs="Arial"/>
          <w:sz w:val="28"/>
          <w:szCs w:val="28"/>
        </w:rPr>
        <w:t>.</w:t>
      </w:r>
      <w:r w:rsidRPr="68A3C7B1">
        <w:rPr>
          <w:rFonts w:ascii="Arial" w:hAnsi="Arial" w:cs="Arial"/>
          <w:sz w:val="28"/>
          <w:szCs w:val="28"/>
        </w:rPr>
        <w:t xml:space="preserve"> In the future, the </w:t>
      </w:r>
      <w:r w:rsidR="4F9ACE1A" w:rsidRPr="68A3C7B1">
        <w:rPr>
          <w:rFonts w:ascii="Arial" w:hAnsi="Arial" w:cs="Arial"/>
          <w:sz w:val="28"/>
          <w:szCs w:val="28"/>
        </w:rPr>
        <w:t xml:space="preserve">DASPs </w:t>
      </w:r>
      <w:r w:rsidRPr="68A3C7B1">
        <w:rPr>
          <w:rFonts w:ascii="Arial" w:hAnsi="Arial" w:cs="Arial"/>
          <w:sz w:val="28"/>
          <w:szCs w:val="28"/>
        </w:rPr>
        <w:t xml:space="preserve">update the policies </w:t>
      </w:r>
      <w:proofErr w:type="gramStart"/>
      <w:r w:rsidRPr="68A3C7B1">
        <w:rPr>
          <w:rFonts w:ascii="Arial" w:hAnsi="Arial" w:cs="Arial"/>
          <w:sz w:val="28"/>
          <w:szCs w:val="28"/>
        </w:rPr>
        <w:t>taking into account</w:t>
      </w:r>
      <w:proofErr w:type="gramEnd"/>
      <w:r w:rsidRPr="68A3C7B1">
        <w:rPr>
          <w:rFonts w:ascii="Arial" w:hAnsi="Arial" w:cs="Arial"/>
          <w:sz w:val="28"/>
          <w:szCs w:val="28"/>
        </w:rPr>
        <w:t xml:space="preserve"> changes in the legislation of the AIFC and the AML/CFT Law of the Republic of Kazakhstan, or as a result of regular business risk assessments. At the end of the year, when submitting </w:t>
      </w:r>
      <w:r w:rsidRPr="68A3C7B1">
        <w:rPr>
          <w:rFonts w:ascii="Arial" w:hAnsi="Arial" w:cs="Arial"/>
          <w:sz w:val="28"/>
          <w:szCs w:val="28"/>
        </w:rPr>
        <w:lastRenderedPageBreak/>
        <w:t xml:space="preserve">AML/CFT reports, </w:t>
      </w:r>
      <w:r w:rsidR="4F9ACE1A" w:rsidRPr="68A3C7B1">
        <w:rPr>
          <w:rFonts w:ascii="Arial" w:hAnsi="Arial" w:cs="Arial"/>
          <w:sz w:val="28"/>
          <w:szCs w:val="28"/>
        </w:rPr>
        <w:t>DASP</w:t>
      </w:r>
      <w:r w:rsidRPr="68A3C7B1">
        <w:rPr>
          <w:rFonts w:ascii="Arial" w:hAnsi="Arial" w:cs="Arial"/>
          <w:sz w:val="28"/>
          <w:szCs w:val="28"/>
        </w:rPr>
        <w:t xml:space="preserve">s provide up-to-date </w:t>
      </w:r>
      <w:r w:rsidR="1C222BA6" w:rsidRPr="00A923F5">
        <w:rPr>
          <w:rFonts w:ascii="Arial" w:hAnsi="Arial" w:cs="Arial"/>
          <w:sz w:val="28"/>
          <w:szCs w:val="28"/>
        </w:rPr>
        <w:t>R</w:t>
      </w:r>
      <w:r w:rsidRPr="00A923F5">
        <w:rPr>
          <w:rFonts w:ascii="Arial" w:hAnsi="Arial" w:cs="Arial"/>
          <w:sz w:val="28"/>
          <w:szCs w:val="28"/>
        </w:rPr>
        <w:t>IC</w:t>
      </w:r>
      <w:r w:rsidRPr="68A3C7B1">
        <w:rPr>
          <w:rFonts w:ascii="Arial" w:hAnsi="Arial" w:cs="Arial"/>
          <w:sz w:val="28"/>
          <w:szCs w:val="28"/>
        </w:rPr>
        <w:t xml:space="preserve"> and other policies and procedures. </w:t>
      </w:r>
    </w:p>
    <w:p w14:paraId="26F38EB1" w14:textId="1E53B129" w:rsidR="006A7985" w:rsidRPr="007B3F28" w:rsidRDefault="006A7985" w:rsidP="003B475F">
      <w:pPr>
        <w:spacing w:line="360" w:lineRule="auto"/>
        <w:jc w:val="both"/>
        <w:rPr>
          <w:rFonts w:ascii="Arial" w:hAnsi="Arial" w:cs="Arial"/>
          <w:sz w:val="28"/>
          <w:szCs w:val="28"/>
        </w:rPr>
      </w:pPr>
      <w:r w:rsidRPr="1367BA36">
        <w:rPr>
          <w:rFonts w:ascii="Arial" w:hAnsi="Arial" w:cs="Arial"/>
          <w:sz w:val="28"/>
          <w:szCs w:val="28"/>
        </w:rPr>
        <w:t xml:space="preserve">In accordance with the AIFC AML/CFT Rules, </w:t>
      </w:r>
      <w:r w:rsidR="001F7AF7">
        <w:rPr>
          <w:rFonts w:ascii="Arial" w:hAnsi="Arial" w:cs="Arial"/>
          <w:sz w:val="28"/>
          <w:szCs w:val="28"/>
        </w:rPr>
        <w:t>DASPs</w:t>
      </w:r>
      <w:r w:rsidRPr="1367BA36">
        <w:rPr>
          <w:rFonts w:ascii="Arial" w:hAnsi="Arial" w:cs="Arial"/>
          <w:sz w:val="28"/>
          <w:szCs w:val="28"/>
        </w:rPr>
        <w:t xml:space="preserve"> conduct a business risk assessment of its activities, an assessment of the ML/TF risks of clients, a customer due diligence (CDD) procedure, and organizes the monitoring of transactions and customer activity. It is not allowed to conduct a simplified CDD when establishing a business relationship remotely.  </w:t>
      </w:r>
    </w:p>
    <w:p w14:paraId="68B5F5B0" w14:textId="22265151" w:rsidR="006A7985" w:rsidRPr="00A835B7" w:rsidRDefault="006A7985" w:rsidP="003B475F">
      <w:pPr>
        <w:spacing w:line="360" w:lineRule="auto"/>
        <w:jc w:val="both"/>
        <w:rPr>
          <w:rFonts w:ascii="Arial" w:hAnsi="Arial" w:cs="Arial"/>
          <w:sz w:val="28"/>
          <w:szCs w:val="28"/>
          <w:lang w:val="az-Latn-AZ"/>
        </w:rPr>
      </w:pPr>
      <w:r w:rsidRPr="335D007E">
        <w:rPr>
          <w:rFonts w:ascii="Arial" w:hAnsi="Arial" w:cs="Arial"/>
          <w:sz w:val="28"/>
          <w:szCs w:val="28"/>
        </w:rPr>
        <w:t xml:space="preserve">The </w:t>
      </w:r>
      <w:r w:rsidR="001F7AF7">
        <w:rPr>
          <w:rFonts w:ascii="Arial" w:hAnsi="Arial" w:cs="Arial"/>
          <w:sz w:val="28"/>
          <w:szCs w:val="28"/>
        </w:rPr>
        <w:t>CDD</w:t>
      </w:r>
      <w:r w:rsidRPr="335D007E">
        <w:rPr>
          <w:rFonts w:ascii="Arial" w:hAnsi="Arial" w:cs="Arial"/>
          <w:sz w:val="28"/>
          <w:szCs w:val="28"/>
        </w:rPr>
        <w:t xml:space="preserve"> includes measures to verify the identity of the client and its beneficial owner, obtain and understand information about the purpose and nature of the business relationship, understand the source of funds, the source of wealth, and conduct follow-up CDD.  </w:t>
      </w:r>
    </w:p>
    <w:tbl>
      <w:tblPr>
        <w:tblStyle w:val="TableGrid"/>
        <w:tblW w:w="0" w:type="auto"/>
        <w:tblLook w:val="04A0" w:firstRow="1" w:lastRow="0" w:firstColumn="1" w:lastColumn="0" w:noHBand="0" w:noVBand="1"/>
      </w:tblPr>
      <w:tblGrid>
        <w:gridCol w:w="9345"/>
      </w:tblGrid>
      <w:tr w:rsidR="0057415C" w:rsidRPr="00D12FAD" w14:paraId="77805EDB" w14:textId="77777777" w:rsidTr="7AD5C25C">
        <w:tc>
          <w:tcPr>
            <w:tcW w:w="9345" w:type="dxa"/>
            <w:shd w:val="clear" w:color="auto" w:fill="DBDBDB" w:themeFill="accent3" w:themeFillTint="66"/>
          </w:tcPr>
          <w:p w14:paraId="6D545459" w14:textId="77777777" w:rsidR="0057415C" w:rsidRPr="007B3F28" w:rsidRDefault="0057415C" w:rsidP="003B475F">
            <w:pPr>
              <w:spacing w:after="160" w:line="360" w:lineRule="auto"/>
              <w:jc w:val="both"/>
              <w:rPr>
                <w:rFonts w:ascii="Arial" w:hAnsi="Arial" w:cs="Arial"/>
                <w:b/>
                <w:bCs/>
                <w:sz w:val="28"/>
                <w:szCs w:val="28"/>
              </w:rPr>
            </w:pPr>
            <w:bookmarkStart w:id="30" w:name="_Hlk167704701"/>
            <w:r w:rsidRPr="002A5AA5">
              <w:rPr>
                <w:rFonts w:ascii="Arial" w:hAnsi="Arial" w:cs="Arial"/>
                <w:b/>
                <w:bCs/>
                <w:sz w:val="28"/>
                <w:szCs w:val="28"/>
              </w:rPr>
              <w:t xml:space="preserve">Example. </w:t>
            </w:r>
          </w:p>
          <w:p w14:paraId="2BF8812D" w14:textId="514F4446" w:rsidR="0057415C" w:rsidRPr="007B3F28" w:rsidRDefault="1BE1722E" w:rsidP="003B475F">
            <w:pPr>
              <w:spacing w:after="160" w:line="360" w:lineRule="auto"/>
              <w:jc w:val="both"/>
              <w:rPr>
                <w:rFonts w:ascii="Arial" w:hAnsi="Arial" w:cs="Arial"/>
                <w:sz w:val="28"/>
                <w:szCs w:val="28"/>
              </w:rPr>
            </w:pPr>
            <w:r w:rsidRPr="7AD5C25C">
              <w:rPr>
                <w:rFonts w:ascii="Arial" w:hAnsi="Arial" w:cs="Arial"/>
                <w:sz w:val="28"/>
                <w:szCs w:val="28"/>
              </w:rPr>
              <w:t xml:space="preserve">A client of a crypto exchange licensed in the AIFC could not explain the source of funds for a large replenishment of the account. The client claimed that the specified amount represented the return of the debt. However, the client did not respond to a subsequent request for relevant documentary evidence. Given the significant amount of funds and the lack of the necessary documentary support, it was decided to terminate the business relationship with this client, and the relevant information was provided to the </w:t>
            </w:r>
            <w:r w:rsidR="001F7AF7">
              <w:rPr>
                <w:rFonts w:ascii="Arial" w:hAnsi="Arial" w:cs="Arial"/>
                <w:sz w:val="28"/>
                <w:szCs w:val="28"/>
              </w:rPr>
              <w:t>FIU</w:t>
            </w:r>
            <w:r w:rsidRPr="7AD5C25C">
              <w:rPr>
                <w:rFonts w:ascii="Arial" w:hAnsi="Arial" w:cs="Arial"/>
                <w:sz w:val="28"/>
                <w:szCs w:val="28"/>
              </w:rPr>
              <w:t xml:space="preserve"> in due time.</w:t>
            </w:r>
          </w:p>
        </w:tc>
      </w:tr>
      <w:bookmarkEnd w:id="30"/>
    </w:tbl>
    <w:p w14:paraId="653DCD9F" w14:textId="77777777" w:rsidR="0057415C" w:rsidRPr="007B3F28" w:rsidRDefault="0057415C" w:rsidP="003B475F">
      <w:pPr>
        <w:spacing w:line="360" w:lineRule="auto"/>
        <w:jc w:val="both"/>
        <w:rPr>
          <w:rFonts w:ascii="Arial" w:hAnsi="Arial" w:cs="Arial"/>
          <w:sz w:val="28"/>
          <w:szCs w:val="28"/>
        </w:rPr>
      </w:pPr>
    </w:p>
    <w:p w14:paraId="409E20B5" w14:textId="6E915456" w:rsidR="008F5906" w:rsidRPr="007B3F28" w:rsidRDefault="00F6255B" w:rsidP="003B475F">
      <w:pPr>
        <w:spacing w:line="360" w:lineRule="auto"/>
        <w:jc w:val="both"/>
        <w:rPr>
          <w:rFonts w:ascii="Arial" w:hAnsi="Arial" w:cs="Arial"/>
          <w:b/>
          <w:bCs/>
          <w:sz w:val="28"/>
          <w:szCs w:val="28"/>
        </w:rPr>
      </w:pPr>
      <w:r>
        <w:rPr>
          <w:rFonts w:ascii="Arial" w:hAnsi="Arial" w:cs="Arial"/>
          <w:b/>
          <w:bCs/>
          <w:sz w:val="28"/>
          <w:szCs w:val="28"/>
        </w:rPr>
        <w:t xml:space="preserve">Brief description of product and service risks and AIFC measures to mitigate them </w:t>
      </w:r>
    </w:p>
    <w:p w14:paraId="3125BCD5" w14:textId="6D6810AA" w:rsidR="009C6D3C" w:rsidRPr="007B3F28" w:rsidRDefault="00DA44D5" w:rsidP="003B475F">
      <w:pPr>
        <w:spacing w:line="360" w:lineRule="auto"/>
        <w:jc w:val="both"/>
        <w:rPr>
          <w:rFonts w:ascii="Arial" w:hAnsi="Arial" w:cs="Arial"/>
          <w:sz w:val="28"/>
          <w:szCs w:val="28"/>
        </w:rPr>
      </w:pPr>
      <w:r>
        <w:rPr>
          <w:rFonts w:ascii="Arial" w:hAnsi="Arial" w:cs="Arial"/>
          <w:sz w:val="28"/>
          <w:szCs w:val="28"/>
        </w:rPr>
        <w:t xml:space="preserve">Product risks include the risks to which </w:t>
      </w:r>
      <w:proofErr w:type="gramStart"/>
      <w:r w:rsidR="001F7AF7">
        <w:rPr>
          <w:rFonts w:ascii="Arial" w:hAnsi="Arial" w:cs="Arial"/>
          <w:sz w:val="28"/>
          <w:szCs w:val="28"/>
        </w:rPr>
        <w:t>DASPs</w:t>
      </w:r>
      <w:proofErr w:type="gramEnd"/>
      <w:r>
        <w:rPr>
          <w:rFonts w:ascii="Arial" w:hAnsi="Arial" w:cs="Arial"/>
          <w:sz w:val="28"/>
          <w:szCs w:val="28"/>
        </w:rPr>
        <w:t xml:space="preserve"> and customers are exposed in connection with the properties of the </w:t>
      </w:r>
      <w:r w:rsidR="001F7AF7">
        <w:rPr>
          <w:rFonts w:ascii="Arial" w:hAnsi="Arial" w:cs="Arial"/>
          <w:sz w:val="28"/>
          <w:szCs w:val="28"/>
        </w:rPr>
        <w:t>DAs</w:t>
      </w:r>
      <w:r>
        <w:rPr>
          <w:rFonts w:ascii="Arial" w:hAnsi="Arial" w:cs="Arial"/>
          <w:sz w:val="28"/>
          <w:szCs w:val="28"/>
        </w:rPr>
        <w:t xml:space="preserve"> used and the services provided.</w:t>
      </w:r>
    </w:p>
    <w:p w14:paraId="52C7D600" w14:textId="79ED3DAA" w:rsidR="007D19EE" w:rsidRPr="007B3F28" w:rsidRDefault="001F7AF7" w:rsidP="003B475F">
      <w:pPr>
        <w:spacing w:line="360" w:lineRule="auto"/>
        <w:jc w:val="both"/>
        <w:rPr>
          <w:rFonts w:ascii="Arial" w:hAnsi="Arial" w:cs="Arial"/>
          <w:sz w:val="28"/>
          <w:szCs w:val="28"/>
        </w:rPr>
      </w:pPr>
      <w:r>
        <w:rPr>
          <w:rFonts w:ascii="Arial" w:hAnsi="Arial" w:cs="Arial"/>
          <w:sz w:val="28"/>
          <w:szCs w:val="28"/>
        </w:rPr>
        <w:t>D</w:t>
      </w:r>
      <w:r w:rsidR="00DC3B33" w:rsidRPr="1367BA36">
        <w:rPr>
          <w:rFonts w:ascii="Arial" w:hAnsi="Arial" w:cs="Arial"/>
          <w:sz w:val="28"/>
          <w:szCs w:val="28"/>
        </w:rPr>
        <w:t xml:space="preserve">As are products that are traded on crypto exchanges licensed by the AIFC. According to the requirements provided for in the AIFC, each </w:t>
      </w:r>
      <w:r>
        <w:rPr>
          <w:rFonts w:ascii="Arial" w:hAnsi="Arial" w:cs="Arial"/>
          <w:sz w:val="28"/>
          <w:szCs w:val="28"/>
        </w:rPr>
        <w:t>DA</w:t>
      </w:r>
      <w:r w:rsidR="00DC3B33" w:rsidRPr="1367BA36">
        <w:rPr>
          <w:rFonts w:ascii="Arial" w:hAnsi="Arial" w:cs="Arial"/>
          <w:sz w:val="28"/>
          <w:szCs w:val="28"/>
        </w:rPr>
        <w:t xml:space="preserve"> that the </w:t>
      </w:r>
      <w:r w:rsidR="00DC3B33" w:rsidRPr="1367BA36">
        <w:rPr>
          <w:rFonts w:ascii="Arial" w:hAnsi="Arial" w:cs="Arial"/>
          <w:sz w:val="28"/>
          <w:szCs w:val="28"/>
        </w:rPr>
        <w:lastRenderedPageBreak/>
        <w:t>AIFC crypto exchange plans to trade must be approved by the A</w:t>
      </w:r>
      <w:r>
        <w:rPr>
          <w:rFonts w:ascii="Arial" w:hAnsi="Arial" w:cs="Arial"/>
          <w:sz w:val="28"/>
          <w:szCs w:val="28"/>
        </w:rPr>
        <w:t>FSA</w:t>
      </w:r>
      <w:r w:rsidR="00DC3B33" w:rsidRPr="1367BA36">
        <w:rPr>
          <w:rFonts w:ascii="Arial" w:hAnsi="Arial" w:cs="Arial"/>
          <w:sz w:val="28"/>
          <w:szCs w:val="28"/>
        </w:rPr>
        <w:t xml:space="preserve">. In total, at the end of 2023, 106 </w:t>
      </w:r>
      <w:r>
        <w:rPr>
          <w:rFonts w:ascii="Arial" w:hAnsi="Arial" w:cs="Arial"/>
          <w:sz w:val="28"/>
          <w:szCs w:val="28"/>
        </w:rPr>
        <w:t>D</w:t>
      </w:r>
      <w:r w:rsidR="00DC3B33" w:rsidRPr="1367BA36">
        <w:rPr>
          <w:rFonts w:ascii="Arial" w:hAnsi="Arial" w:cs="Arial"/>
          <w:sz w:val="28"/>
          <w:szCs w:val="28"/>
        </w:rPr>
        <w:t xml:space="preserve">As were approved, 10 </w:t>
      </w:r>
      <w:r>
        <w:rPr>
          <w:rFonts w:ascii="Arial" w:hAnsi="Arial" w:cs="Arial"/>
          <w:sz w:val="28"/>
          <w:szCs w:val="28"/>
        </w:rPr>
        <w:t>D</w:t>
      </w:r>
      <w:r w:rsidR="00DC3B33" w:rsidRPr="1367BA36">
        <w:rPr>
          <w:rFonts w:ascii="Arial" w:hAnsi="Arial" w:cs="Arial"/>
          <w:sz w:val="28"/>
          <w:szCs w:val="28"/>
        </w:rPr>
        <w:t xml:space="preserve">As were refused. There are no anonymous tokens among the approved </w:t>
      </w:r>
      <w:r>
        <w:rPr>
          <w:rFonts w:ascii="Arial" w:hAnsi="Arial" w:cs="Arial"/>
          <w:sz w:val="28"/>
          <w:szCs w:val="28"/>
        </w:rPr>
        <w:t>DAs</w:t>
      </w:r>
      <w:r w:rsidR="00DC3B33" w:rsidRPr="1367BA36">
        <w:rPr>
          <w:rFonts w:ascii="Arial" w:hAnsi="Arial" w:cs="Arial"/>
          <w:sz w:val="28"/>
          <w:szCs w:val="28"/>
        </w:rPr>
        <w:t xml:space="preserve">, as this parameter is a criterion for assessing compliance with the AIFC requirements. All </w:t>
      </w:r>
      <w:r>
        <w:rPr>
          <w:rFonts w:ascii="Arial" w:hAnsi="Arial" w:cs="Arial"/>
          <w:sz w:val="28"/>
          <w:szCs w:val="28"/>
        </w:rPr>
        <w:t>D</w:t>
      </w:r>
      <w:r w:rsidR="00DC3B33" w:rsidRPr="1367BA36">
        <w:rPr>
          <w:rFonts w:ascii="Arial" w:hAnsi="Arial" w:cs="Arial"/>
          <w:sz w:val="28"/>
          <w:szCs w:val="28"/>
        </w:rPr>
        <w:t xml:space="preserve">As are issued on an open decentralized blockchain, which allows you to track transactions with these </w:t>
      </w:r>
      <w:r>
        <w:rPr>
          <w:rFonts w:ascii="Arial" w:hAnsi="Arial" w:cs="Arial"/>
          <w:sz w:val="28"/>
          <w:szCs w:val="28"/>
        </w:rPr>
        <w:t>D</w:t>
      </w:r>
      <w:r w:rsidR="00DC3B33" w:rsidRPr="1367BA36">
        <w:rPr>
          <w:rFonts w:ascii="Arial" w:hAnsi="Arial" w:cs="Arial"/>
          <w:sz w:val="28"/>
          <w:szCs w:val="28"/>
        </w:rPr>
        <w:t xml:space="preserve">As, thereby significantly reducing the risk of using </w:t>
      </w:r>
      <w:r>
        <w:rPr>
          <w:rFonts w:ascii="Arial" w:hAnsi="Arial" w:cs="Arial"/>
          <w:sz w:val="28"/>
          <w:szCs w:val="28"/>
        </w:rPr>
        <w:t>D</w:t>
      </w:r>
      <w:r w:rsidR="00DC3B33" w:rsidRPr="1367BA36">
        <w:rPr>
          <w:rFonts w:ascii="Arial" w:hAnsi="Arial" w:cs="Arial"/>
          <w:sz w:val="28"/>
          <w:szCs w:val="28"/>
        </w:rPr>
        <w:t xml:space="preserve">As traded on AIFC platforms for ML/TF purposes. </w:t>
      </w:r>
    </w:p>
    <w:p w14:paraId="091416EC" w14:textId="62716908" w:rsidR="007D19EE" w:rsidRPr="007B3F28" w:rsidRDefault="007D19EE" w:rsidP="003B475F">
      <w:pPr>
        <w:spacing w:line="360" w:lineRule="auto"/>
        <w:jc w:val="both"/>
        <w:rPr>
          <w:rFonts w:ascii="Arial" w:hAnsi="Arial" w:cs="Arial"/>
          <w:sz w:val="28"/>
          <w:szCs w:val="28"/>
        </w:rPr>
      </w:pPr>
      <w:r w:rsidRPr="007D19EE">
        <w:rPr>
          <w:rFonts w:ascii="Arial" w:hAnsi="Arial" w:cs="Arial"/>
          <w:sz w:val="28"/>
          <w:szCs w:val="28"/>
        </w:rPr>
        <w:t xml:space="preserve">Currently, all AIFC crypto exchanges provide two types of services under licenses - spot trading and custodial services. </w:t>
      </w:r>
    </w:p>
    <w:p w14:paraId="4FAC7E1C" w14:textId="380BF2C1" w:rsidR="007D19EE" w:rsidRPr="007B3F28" w:rsidRDefault="007D19EE" w:rsidP="003B475F">
      <w:pPr>
        <w:spacing w:line="360" w:lineRule="auto"/>
        <w:jc w:val="both"/>
        <w:rPr>
          <w:rFonts w:ascii="Arial" w:hAnsi="Arial" w:cs="Arial"/>
          <w:sz w:val="28"/>
          <w:szCs w:val="28"/>
        </w:rPr>
      </w:pPr>
      <w:r w:rsidRPr="003B475F">
        <w:rPr>
          <w:rFonts w:ascii="Arial" w:hAnsi="Arial" w:cs="Arial"/>
          <w:sz w:val="28"/>
          <w:szCs w:val="28"/>
        </w:rPr>
        <w:t xml:space="preserve">Compared to P2P trading, in spot trading, the crypto exchange customers pre-deposit fiat and </w:t>
      </w:r>
      <w:r w:rsidR="004E0EDE">
        <w:rPr>
          <w:rFonts w:ascii="Arial" w:hAnsi="Arial" w:cs="Arial"/>
          <w:sz w:val="28"/>
          <w:szCs w:val="28"/>
        </w:rPr>
        <w:t>DA</w:t>
      </w:r>
      <w:r w:rsidRPr="003B475F">
        <w:rPr>
          <w:rFonts w:ascii="Arial" w:hAnsi="Arial" w:cs="Arial"/>
          <w:sz w:val="28"/>
          <w:szCs w:val="28"/>
        </w:rPr>
        <w:t>, thereby the crypto exchange as an intermediary reduces the risk of fraud from customers.</w:t>
      </w:r>
    </w:p>
    <w:p w14:paraId="2F08DE47" w14:textId="03061E5E" w:rsidR="00AA5A56" w:rsidRPr="007B3F28" w:rsidRDefault="00D27853" w:rsidP="003B475F">
      <w:pPr>
        <w:spacing w:line="360" w:lineRule="auto"/>
        <w:jc w:val="both"/>
        <w:rPr>
          <w:rFonts w:ascii="Arial" w:hAnsi="Arial" w:cs="Arial"/>
          <w:b/>
          <w:bCs/>
          <w:sz w:val="28"/>
          <w:szCs w:val="28"/>
        </w:rPr>
      </w:pPr>
      <w:r>
        <w:rPr>
          <w:rFonts w:ascii="Arial" w:hAnsi="Arial" w:cs="Arial"/>
          <w:b/>
          <w:bCs/>
          <w:sz w:val="28"/>
          <w:szCs w:val="28"/>
        </w:rPr>
        <w:t>Brief description of risks associated with operating activities and AIFC measures to mitigate them</w:t>
      </w:r>
    </w:p>
    <w:p w14:paraId="03240EBA" w14:textId="42BA1515" w:rsidR="007D6CBA" w:rsidRPr="007B3F28" w:rsidRDefault="00F55788" w:rsidP="003B475F">
      <w:pPr>
        <w:spacing w:line="360" w:lineRule="auto"/>
        <w:jc w:val="both"/>
        <w:rPr>
          <w:rFonts w:ascii="Arial" w:hAnsi="Arial" w:cs="Arial"/>
          <w:sz w:val="28"/>
          <w:szCs w:val="28"/>
        </w:rPr>
      </w:pPr>
      <w:r>
        <w:rPr>
          <w:rFonts w:ascii="Arial" w:hAnsi="Arial" w:cs="Arial"/>
          <w:sz w:val="28"/>
          <w:szCs w:val="28"/>
        </w:rPr>
        <w:t xml:space="preserve">Risks in the operational activities of </w:t>
      </w:r>
      <w:r w:rsidR="001F7AF7">
        <w:rPr>
          <w:rFonts w:ascii="Arial" w:hAnsi="Arial" w:cs="Arial"/>
          <w:sz w:val="28"/>
          <w:szCs w:val="28"/>
        </w:rPr>
        <w:t>DASPs</w:t>
      </w:r>
      <w:r>
        <w:rPr>
          <w:rFonts w:ascii="Arial" w:hAnsi="Arial" w:cs="Arial"/>
          <w:sz w:val="28"/>
          <w:szCs w:val="28"/>
        </w:rPr>
        <w:t xml:space="preserve"> include such parameters as: risks of the features and quality of the organization of internal control, the total number of employees, the outsourcing of part of the work (reliance on third parties), the procedure for the formation of the governing bodies of the organization, the procedure for the formation and appointment of certain officials in the organization, the interaction of functions, regular audit. </w:t>
      </w:r>
    </w:p>
    <w:p w14:paraId="206F66A4" w14:textId="7F84C8F3" w:rsidR="00E422A9" w:rsidRPr="007B3F28" w:rsidRDefault="00D80B54" w:rsidP="003B475F">
      <w:pPr>
        <w:spacing w:line="360" w:lineRule="auto"/>
        <w:jc w:val="both"/>
        <w:rPr>
          <w:rFonts w:ascii="Arial" w:hAnsi="Arial" w:cs="Arial"/>
          <w:sz w:val="28"/>
          <w:szCs w:val="28"/>
        </w:rPr>
      </w:pPr>
      <w:r>
        <w:rPr>
          <w:rFonts w:ascii="Arial" w:hAnsi="Arial" w:cs="Arial"/>
          <w:sz w:val="28"/>
          <w:szCs w:val="28"/>
        </w:rPr>
        <w:t xml:space="preserve">Existing examples in international practice demonstrate the importance of a responsible approach on the part of </w:t>
      </w:r>
      <w:r w:rsidR="001F7AF7">
        <w:rPr>
          <w:rFonts w:ascii="Arial" w:hAnsi="Arial" w:cs="Arial"/>
          <w:sz w:val="28"/>
          <w:szCs w:val="28"/>
        </w:rPr>
        <w:t>DASPs</w:t>
      </w:r>
      <w:r>
        <w:rPr>
          <w:rFonts w:ascii="Arial" w:hAnsi="Arial" w:cs="Arial"/>
          <w:sz w:val="28"/>
          <w:szCs w:val="28"/>
        </w:rPr>
        <w:t xml:space="preserve"> to the appointment of employees to key positions. </w:t>
      </w:r>
    </w:p>
    <w:tbl>
      <w:tblPr>
        <w:tblStyle w:val="TableGrid"/>
        <w:tblW w:w="0" w:type="auto"/>
        <w:tblLook w:val="04A0" w:firstRow="1" w:lastRow="0" w:firstColumn="1" w:lastColumn="0" w:noHBand="0" w:noVBand="1"/>
      </w:tblPr>
      <w:tblGrid>
        <w:gridCol w:w="9345"/>
      </w:tblGrid>
      <w:tr w:rsidR="007423F4" w:rsidRPr="00D12FAD" w14:paraId="6D6C6527" w14:textId="77777777" w:rsidTr="001F25EC">
        <w:tc>
          <w:tcPr>
            <w:tcW w:w="9345" w:type="dxa"/>
            <w:shd w:val="clear" w:color="auto" w:fill="DBDBDB" w:themeFill="accent3" w:themeFillTint="66"/>
          </w:tcPr>
          <w:p w14:paraId="7919A99B" w14:textId="43F01222" w:rsidR="007423F4" w:rsidRPr="00A923F5" w:rsidRDefault="007423F4" w:rsidP="003B475F">
            <w:pPr>
              <w:spacing w:after="160" w:line="360" w:lineRule="auto"/>
              <w:jc w:val="both"/>
              <w:rPr>
                <w:rFonts w:ascii="Arial" w:hAnsi="Arial" w:cs="Arial"/>
                <w:b/>
                <w:bCs/>
                <w:sz w:val="28"/>
                <w:szCs w:val="28"/>
              </w:rPr>
            </w:pPr>
            <w:r w:rsidRPr="002A5AA5">
              <w:rPr>
                <w:rFonts w:ascii="Arial" w:hAnsi="Arial" w:cs="Arial"/>
                <w:b/>
                <w:bCs/>
                <w:sz w:val="28"/>
                <w:szCs w:val="28"/>
              </w:rPr>
              <w:t xml:space="preserve">Example. </w:t>
            </w:r>
          </w:p>
          <w:p w14:paraId="3E4EBB18" w14:textId="6BF46D47" w:rsidR="007423F4" w:rsidRPr="007B3F28" w:rsidRDefault="007423F4" w:rsidP="003B475F">
            <w:pPr>
              <w:spacing w:after="160" w:line="360" w:lineRule="auto"/>
              <w:jc w:val="both"/>
              <w:rPr>
                <w:rFonts w:ascii="Arial" w:hAnsi="Arial" w:cs="Arial"/>
                <w:sz w:val="28"/>
                <w:szCs w:val="28"/>
              </w:rPr>
            </w:pPr>
            <w:r>
              <w:rPr>
                <w:rFonts w:ascii="Arial" w:hAnsi="Arial" w:cs="Arial"/>
                <w:sz w:val="28"/>
                <w:szCs w:val="28"/>
              </w:rPr>
              <w:t xml:space="preserve">The case of the FTX crypto exchange is related to the bankruptcy of the company in November 2022 amid accusations that its owners appropriated and misused customer funds. As a result, within two weeks, the crypto </w:t>
            </w:r>
            <w:r>
              <w:rPr>
                <w:rFonts w:ascii="Arial" w:hAnsi="Arial" w:cs="Arial"/>
                <w:sz w:val="28"/>
                <w:szCs w:val="28"/>
              </w:rPr>
              <w:lastRenderedPageBreak/>
              <w:t xml:space="preserve">exchange, which had more than a million users and ranked third among cryptocurrency exchange services in terms of trading volume, suffered critical losses and declared bankruptcy. </w:t>
            </w:r>
          </w:p>
        </w:tc>
      </w:tr>
    </w:tbl>
    <w:p w14:paraId="738DC9D4" w14:textId="71E2697B" w:rsidR="001F7AF7" w:rsidRPr="00ED368C" w:rsidRDefault="001F7AF7" w:rsidP="003B475F">
      <w:pPr>
        <w:spacing w:line="360" w:lineRule="auto"/>
        <w:jc w:val="both"/>
        <w:rPr>
          <w:rFonts w:ascii="Arial" w:hAnsi="Arial" w:cs="Arial"/>
          <w:sz w:val="28"/>
          <w:szCs w:val="28"/>
        </w:rPr>
      </w:pPr>
      <w:r w:rsidRPr="001F7AF7">
        <w:rPr>
          <w:rFonts w:ascii="Arial" w:hAnsi="Arial" w:cs="Arial"/>
          <w:sz w:val="28"/>
          <w:szCs w:val="28"/>
        </w:rPr>
        <w:lastRenderedPageBreak/>
        <w:t>On the part of AIFC as part of measures to mitigate these risks are:</w:t>
      </w:r>
    </w:p>
    <w:p w14:paraId="4C677A7E" w14:textId="1F3FF459" w:rsidR="00100A85" w:rsidRPr="007B3F28" w:rsidRDefault="00FA7D96" w:rsidP="003B475F">
      <w:pPr>
        <w:spacing w:line="360" w:lineRule="auto"/>
        <w:jc w:val="both"/>
        <w:rPr>
          <w:rFonts w:ascii="Arial" w:hAnsi="Arial" w:cs="Arial"/>
          <w:sz w:val="28"/>
          <w:szCs w:val="28"/>
        </w:rPr>
      </w:pPr>
      <w:r w:rsidRPr="00FA7D96">
        <w:rPr>
          <w:rFonts w:ascii="Arial" w:hAnsi="Arial" w:cs="Arial"/>
          <w:sz w:val="28"/>
          <w:szCs w:val="28"/>
        </w:rPr>
        <w:t xml:space="preserve">1) a requirement for the organization of procedures for the appointment of authorized persons, such as: Executive Director, Compliance Officer, Financial Director, Responsible AML/CFT Officer (MLRO), CITO (Chief Information Technology Officer, Head of Information Technology Department). </w:t>
      </w:r>
    </w:p>
    <w:p w14:paraId="38D30EBD" w14:textId="192D8845" w:rsidR="00100A85" w:rsidRPr="007B3F28" w:rsidRDefault="000D7BB1" w:rsidP="003B475F">
      <w:pPr>
        <w:spacing w:line="360" w:lineRule="auto"/>
        <w:jc w:val="both"/>
        <w:rPr>
          <w:rFonts w:ascii="Arial" w:hAnsi="Arial" w:cs="Arial"/>
          <w:sz w:val="28"/>
          <w:szCs w:val="28"/>
        </w:rPr>
      </w:pPr>
      <w:r>
        <w:rPr>
          <w:rFonts w:ascii="Arial" w:hAnsi="Arial" w:cs="Arial"/>
          <w:sz w:val="28"/>
          <w:szCs w:val="28"/>
        </w:rPr>
        <w:t xml:space="preserve">Each of these functions is subject to special requirements of the AIFC and are checked by </w:t>
      </w:r>
      <w:r w:rsidRPr="00A923F5">
        <w:rPr>
          <w:rFonts w:ascii="Arial" w:hAnsi="Arial" w:cs="Arial"/>
          <w:sz w:val="28"/>
          <w:szCs w:val="28"/>
        </w:rPr>
        <w:t>the</w:t>
      </w:r>
      <w:r>
        <w:rPr>
          <w:rFonts w:ascii="Arial" w:hAnsi="Arial" w:cs="Arial"/>
          <w:sz w:val="28"/>
          <w:szCs w:val="28"/>
        </w:rPr>
        <w:t xml:space="preserve"> </w:t>
      </w:r>
      <w:r w:rsidR="001F7AF7">
        <w:rPr>
          <w:rFonts w:ascii="Arial" w:hAnsi="Arial" w:cs="Arial"/>
          <w:sz w:val="28"/>
          <w:szCs w:val="28"/>
        </w:rPr>
        <w:t>AFSA</w:t>
      </w:r>
      <w:r>
        <w:rPr>
          <w:rFonts w:ascii="Arial" w:hAnsi="Arial" w:cs="Arial"/>
          <w:sz w:val="28"/>
          <w:szCs w:val="28"/>
        </w:rPr>
        <w:t xml:space="preserve"> for compliance with proper professional experience, knowledge and business reputation.</w:t>
      </w:r>
    </w:p>
    <w:p w14:paraId="13E92FC5" w14:textId="30638C43" w:rsidR="00100A85" w:rsidRPr="007B3F28" w:rsidRDefault="00923D30" w:rsidP="003B475F">
      <w:pPr>
        <w:spacing w:line="360" w:lineRule="auto"/>
        <w:jc w:val="both"/>
        <w:rPr>
          <w:rFonts w:ascii="Arial" w:hAnsi="Arial" w:cs="Arial"/>
          <w:sz w:val="28"/>
          <w:szCs w:val="28"/>
        </w:rPr>
      </w:pPr>
      <w:r w:rsidRPr="003B475F">
        <w:rPr>
          <w:rFonts w:ascii="Arial" w:hAnsi="Arial" w:cs="Arial"/>
          <w:sz w:val="28"/>
          <w:szCs w:val="28"/>
        </w:rPr>
        <w:t xml:space="preserve">2) a requirement for the organization of the appointment of the board of directors of the company. </w:t>
      </w:r>
    </w:p>
    <w:p w14:paraId="73DA5A80" w14:textId="475A268C" w:rsidR="00100A85" w:rsidRPr="007B3F28" w:rsidRDefault="008646F3" w:rsidP="003B475F">
      <w:pPr>
        <w:spacing w:line="360" w:lineRule="auto"/>
        <w:jc w:val="both"/>
        <w:rPr>
          <w:rFonts w:ascii="Arial" w:hAnsi="Arial" w:cs="Arial"/>
          <w:sz w:val="28"/>
          <w:szCs w:val="28"/>
        </w:rPr>
      </w:pPr>
      <w:r>
        <w:rPr>
          <w:rFonts w:ascii="Arial" w:hAnsi="Arial" w:cs="Arial"/>
          <w:sz w:val="28"/>
          <w:szCs w:val="28"/>
        </w:rPr>
        <w:t xml:space="preserve">3) the requirement to have systems and controls in place to prevent conflicts of interest, insider trading, risk management systems, including, in addition to ML/TF, operational, reputational, legal, fraud and business continuity risks. </w:t>
      </w:r>
    </w:p>
    <w:p w14:paraId="4CE5F422" w14:textId="77777777" w:rsidR="008664CB" w:rsidRPr="007B3F28" w:rsidRDefault="008664CB" w:rsidP="003B475F">
      <w:pPr>
        <w:spacing w:line="360" w:lineRule="auto"/>
        <w:jc w:val="both"/>
        <w:rPr>
          <w:rFonts w:ascii="Arial" w:hAnsi="Arial" w:cs="Arial"/>
          <w:sz w:val="28"/>
          <w:szCs w:val="28"/>
        </w:rPr>
      </w:pPr>
    </w:p>
    <w:p w14:paraId="0BA31ABD" w14:textId="77777777" w:rsidR="008664CB" w:rsidRPr="007B3F28" w:rsidRDefault="008664CB" w:rsidP="003B475F">
      <w:pPr>
        <w:spacing w:line="360" w:lineRule="auto"/>
        <w:jc w:val="both"/>
        <w:rPr>
          <w:rFonts w:ascii="Arial" w:hAnsi="Arial" w:cs="Arial"/>
          <w:sz w:val="28"/>
          <w:szCs w:val="28"/>
        </w:rPr>
      </w:pPr>
    </w:p>
    <w:p w14:paraId="61520ECB" w14:textId="77777777" w:rsidR="008664CB" w:rsidRPr="007B3F28" w:rsidRDefault="008664CB" w:rsidP="003B475F">
      <w:pPr>
        <w:spacing w:line="360" w:lineRule="auto"/>
        <w:jc w:val="both"/>
        <w:rPr>
          <w:rFonts w:ascii="Arial" w:hAnsi="Arial" w:cs="Arial"/>
          <w:sz w:val="28"/>
          <w:szCs w:val="28"/>
        </w:rPr>
      </w:pPr>
    </w:p>
    <w:p w14:paraId="6D5CEAE7" w14:textId="77777777" w:rsidR="00473767" w:rsidRPr="007B3F28" w:rsidRDefault="00473767" w:rsidP="003B475F">
      <w:pPr>
        <w:spacing w:line="360" w:lineRule="auto"/>
        <w:jc w:val="both"/>
        <w:rPr>
          <w:rFonts w:ascii="Arial" w:hAnsi="Arial" w:cs="Arial"/>
          <w:sz w:val="28"/>
          <w:szCs w:val="28"/>
        </w:rPr>
      </w:pPr>
    </w:p>
    <w:p w14:paraId="00C6E8FB" w14:textId="77777777" w:rsidR="00473767" w:rsidRDefault="00473767" w:rsidP="003B475F">
      <w:pPr>
        <w:spacing w:line="360" w:lineRule="auto"/>
        <w:jc w:val="both"/>
        <w:rPr>
          <w:rFonts w:ascii="Arial" w:hAnsi="Arial" w:cs="Arial"/>
          <w:sz w:val="28"/>
          <w:szCs w:val="28"/>
        </w:rPr>
      </w:pPr>
    </w:p>
    <w:p w14:paraId="7D4CEC2D" w14:textId="77777777" w:rsidR="00A923F5" w:rsidRDefault="00A923F5" w:rsidP="003B475F">
      <w:pPr>
        <w:spacing w:line="360" w:lineRule="auto"/>
        <w:jc w:val="both"/>
        <w:rPr>
          <w:rFonts w:ascii="Arial" w:hAnsi="Arial" w:cs="Arial"/>
          <w:sz w:val="28"/>
          <w:szCs w:val="28"/>
        </w:rPr>
      </w:pPr>
    </w:p>
    <w:p w14:paraId="1EC46951" w14:textId="77777777" w:rsidR="00A923F5" w:rsidRDefault="00A923F5" w:rsidP="003B475F">
      <w:pPr>
        <w:spacing w:line="360" w:lineRule="auto"/>
        <w:jc w:val="both"/>
        <w:rPr>
          <w:rFonts w:ascii="Arial" w:hAnsi="Arial" w:cs="Arial"/>
          <w:sz w:val="28"/>
          <w:szCs w:val="28"/>
        </w:rPr>
      </w:pPr>
    </w:p>
    <w:p w14:paraId="579E723B" w14:textId="164129FE" w:rsidR="00435F79" w:rsidRPr="007B3F28" w:rsidRDefault="0028091F" w:rsidP="009E0025">
      <w:pPr>
        <w:pStyle w:val="Heading1"/>
        <w:jc w:val="both"/>
        <w:rPr>
          <w:rFonts w:ascii="Arial" w:hAnsi="Arial" w:cs="Arial"/>
          <w:b/>
          <w:bCs/>
          <w:color w:val="000000" w:themeColor="text1"/>
          <w:sz w:val="28"/>
          <w:szCs w:val="28"/>
        </w:rPr>
      </w:pPr>
      <w:bookmarkStart w:id="31" w:name="_Toc170314438"/>
      <w:r w:rsidRPr="000F62E6">
        <w:rPr>
          <w:rFonts w:ascii="Arial" w:hAnsi="Arial" w:cs="Arial"/>
          <w:b/>
          <w:bCs/>
          <w:color w:val="000000" w:themeColor="text1"/>
          <w:sz w:val="28"/>
          <w:szCs w:val="28"/>
        </w:rPr>
        <w:lastRenderedPageBreak/>
        <w:t>6. FINAL ASSESSMENT OF THREATS, VULNERABILITIES AND RISK LEVEL</w:t>
      </w:r>
      <w:bookmarkEnd w:id="31"/>
      <w:r w:rsidRPr="000F62E6">
        <w:rPr>
          <w:rFonts w:ascii="Arial" w:hAnsi="Arial" w:cs="Arial"/>
          <w:b/>
          <w:bCs/>
          <w:color w:val="000000" w:themeColor="text1"/>
          <w:sz w:val="28"/>
          <w:szCs w:val="28"/>
        </w:rPr>
        <w:t xml:space="preserve"> </w:t>
      </w:r>
    </w:p>
    <w:p w14:paraId="7DDD8AA7" w14:textId="77777777" w:rsidR="00FE2C40" w:rsidRPr="007B3F28" w:rsidRDefault="00FE2C40" w:rsidP="00FE2C40"/>
    <w:p w14:paraId="6530B6A5" w14:textId="5CA23D98" w:rsidR="00B41B82" w:rsidRPr="007B3F28" w:rsidRDefault="00B41B82" w:rsidP="003B475F">
      <w:pPr>
        <w:spacing w:line="360" w:lineRule="auto"/>
        <w:jc w:val="both"/>
        <w:rPr>
          <w:rFonts w:ascii="Arial" w:hAnsi="Arial" w:cs="Arial"/>
          <w:b/>
          <w:bCs/>
          <w:sz w:val="28"/>
          <w:szCs w:val="28"/>
        </w:rPr>
      </w:pPr>
      <w:r w:rsidRPr="003B475F">
        <w:rPr>
          <w:rFonts w:ascii="Arial" w:hAnsi="Arial" w:cs="Arial"/>
          <w:sz w:val="28"/>
          <w:szCs w:val="28"/>
        </w:rPr>
        <w:t xml:space="preserve">The above measures and procedures are applied to each company authorized (licensed) in the AIFC – the subject of an individual risk assessment. The conclusion obtained </w:t>
      </w:r>
      <w:proofErr w:type="gramStart"/>
      <w:r w:rsidRPr="003B475F">
        <w:rPr>
          <w:rFonts w:ascii="Arial" w:hAnsi="Arial" w:cs="Arial"/>
          <w:sz w:val="28"/>
          <w:szCs w:val="28"/>
        </w:rPr>
        <w:t>as a result of</w:t>
      </w:r>
      <w:proofErr w:type="gramEnd"/>
      <w:r w:rsidRPr="003B475F">
        <w:rPr>
          <w:rFonts w:ascii="Arial" w:hAnsi="Arial" w:cs="Arial"/>
          <w:sz w:val="28"/>
          <w:szCs w:val="28"/>
        </w:rPr>
        <w:t xml:space="preserve"> the risk assessment for each company is scaled to the sector under consideration as a whole. As part of the sector assessment, the indicators reflected in the results of the previous National Risk Assessment of the Republic of Kazakhstan are </w:t>
      </w:r>
      <w:proofErr w:type="gramStart"/>
      <w:r w:rsidRPr="003B475F">
        <w:rPr>
          <w:rFonts w:ascii="Arial" w:hAnsi="Arial" w:cs="Arial"/>
          <w:sz w:val="28"/>
          <w:szCs w:val="28"/>
        </w:rPr>
        <w:t>taken into account</w:t>
      </w:r>
      <w:proofErr w:type="gramEnd"/>
      <w:r w:rsidRPr="003B475F">
        <w:rPr>
          <w:rFonts w:ascii="Arial" w:hAnsi="Arial" w:cs="Arial"/>
          <w:sz w:val="28"/>
          <w:szCs w:val="28"/>
        </w:rPr>
        <w:t xml:space="preserve">.  </w:t>
      </w:r>
      <w:r w:rsidR="009E0025" w:rsidRPr="009E0025">
        <w:rPr>
          <w:rFonts w:ascii="Arial" w:hAnsi="Arial" w:cs="Arial"/>
          <w:sz w:val="28"/>
          <w:szCs w:val="28"/>
        </w:rPr>
        <w:t>In doing so, a general analysis of vulnerabilities, exposure to ML/TF risks, and the threats (and potential risks) of possible use of companies for illegal purposes is carried out in qualitative terms</w:t>
      </w:r>
      <w:r w:rsidRPr="003B475F">
        <w:rPr>
          <w:rFonts w:ascii="Arial" w:hAnsi="Arial" w:cs="Arial"/>
          <w:sz w:val="28"/>
          <w:szCs w:val="28"/>
        </w:rPr>
        <w:t xml:space="preserve">. In quantitative terms, the </w:t>
      </w:r>
      <w:r w:rsidRPr="00A923F5">
        <w:rPr>
          <w:rFonts w:ascii="Arial" w:hAnsi="Arial" w:cs="Arial"/>
          <w:sz w:val="28"/>
          <w:szCs w:val="28"/>
        </w:rPr>
        <w:t>weighted average assessment (rating) for the analysis of residual risks of VASP</w:t>
      </w:r>
      <w:r w:rsidRPr="003B475F">
        <w:rPr>
          <w:rFonts w:ascii="Arial" w:hAnsi="Arial" w:cs="Arial"/>
          <w:sz w:val="28"/>
          <w:szCs w:val="28"/>
        </w:rPr>
        <w:t xml:space="preserve"> is determined based on the rating of each company.  Thus, the individual characteristics of VASPs, the set of products and services provided by VASPs, their vulnerabilities and exposure to risk, as well as the quality and effectiveness of the controls implemented and the measures taken to minimize the risks of each company, have an impact on the level of risk in the </w:t>
      </w:r>
      <w:proofErr w:type="gramStart"/>
      <w:r w:rsidRPr="003B475F">
        <w:rPr>
          <w:rFonts w:ascii="Arial" w:hAnsi="Arial" w:cs="Arial"/>
          <w:sz w:val="28"/>
          <w:szCs w:val="28"/>
        </w:rPr>
        <w:t>sector as a whole</w:t>
      </w:r>
      <w:proofErr w:type="gramEnd"/>
      <w:r w:rsidRPr="00B41B82">
        <w:rPr>
          <w:rFonts w:ascii="Arial" w:hAnsi="Arial" w:cs="Arial"/>
          <w:b/>
          <w:bCs/>
          <w:sz w:val="28"/>
          <w:szCs w:val="28"/>
        </w:rPr>
        <w:t>.</w:t>
      </w:r>
    </w:p>
    <w:p w14:paraId="7D02CA64" w14:textId="0B179705" w:rsidR="00406131" w:rsidRPr="007B3F28" w:rsidRDefault="08512B6A" w:rsidP="003B475F">
      <w:pPr>
        <w:spacing w:line="360" w:lineRule="auto"/>
        <w:jc w:val="both"/>
        <w:rPr>
          <w:rFonts w:ascii="Arial" w:hAnsi="Arial" w:cs="Arial"/>
          <w:sz w:val="28"/>
          <w:szCs w:val="28"/>
        </w:rPr>
      </w:pPr>
      <w:r w:rsidRPr="68A3C7B1">
        <w:rPr>
          <w:rFonts w:ascii="Arial" w:hAnsi="Arial" w:cs="Arial"/>
          <w:sz w:val="28"/>
          <w:szCs w:val="28"/>
        </w:rPr>
        <w:t xml:space="preserve">According to the analysis of the current situation, the inherent risks, given the level of threats and the presence of vulnerabilities, in the issue of achieving ML/TF goals in the </w:t>
      </w:r>
      <w:r w:rsidR="316D1C3F" w:rsidRPr="68A3C7B1">
        <w:rPr>
          <w:rFonts w:ascii="Arial" w:hAnsi="Arial" w:cs="Arial"/>
          <w:sz w:val="28"/>
          <w:szCs w:val="28"/>
        </w:rPr>
        <w:t>DA</w:t>
      </w:r>
      <w:r w:rsidRPr="68A3C7B1">
        <w:rPr>
          <w:rFonts w:ascii="Arial" w:hAnsi="Arial" w:cs="Arial"/>
          <w:sz w:val="28"/>
          <w:szCs w:val="28"/>
        </w:rPr>
        <w:t xml:space="preserve"> and </w:t>
      </w:r>
      <w:r w:rsidR="316D1C3F" w:rsidRPr="68A3C7B1">
        <w:rPr>
          <w:rFonts w:ascii="Arial" w:hAnsi="Arial" w:cs="Arial"/>
          <w:sz w:val="28"/>
          <w:szCs w:val="28"/>
        </w:rPr>
        <w:t>DASP</w:t>
      </w:r>
      <w:r w:rsidRPr="68A3C7B1">
        <w:rPr>
          <w:rFonts w:ascii="Arial" w:hAnsi="Arial" w:cs="Arial"/>
          <w:sz w:val="28"/>
          <w:szCs w:val="28"/>
        </w:rPr>
        <w:t xml:space="preserve"> sector are </w:t>
      </w:r>
      <w:r w:rsidR="7AB7C2C2" w:rsidRPr="68A3C7B1">
        <w:rPr>
          <w:rFonts w:ascii="Arial" w:hAnsi="Arial" w:cs="Arial"/>
          <w:b/>
          <w:bCs/>
          <w:sz w:val="28"/>
          <w:szCs w:val="28"/>
        </w:rPr>
        <w:t xml:space="preserve">high. </w:t>
      </w:r>
      <w:r w:rsidR="316D1C3F" w:rsidRPr="68A3C7B1">
        <w:rPr>
          <w:rFonts w:ascii="Arial" w:hAnsi="Arial" w:cs="Arial"/>
          <w:sz w:val="28"/>
          <w:szCs w:val="28"/>
        </w:rPr>
        <w:t>DA</w:t>
      </w:r>
      <w:r w:rsidR="0EDC54AE" w:rsidRPr="68A3C7B1">
        <w:rPr>
          <w:rFonts w:ascii="Arial" w:hAnsi="Arial" w:cs="Arial"/>
          <w:sz w:val="28"/>
          <w:szCs w:val="28"/>
        </w:rPr>
        <w:t>s</w:t>
      </w:r>
      <w:r w:rsidR="7AB7C2C2" w:rsidRPr="68A3C7B1">
        <w:rPr>
          <w:rFonts w:ascii="Arial" w:hAnsi="Arial" w:cs="Arial"/>
          <w:sz w:val="28"/>
          <w:szCs w:val="28"/>
        </w:rPr>
        <w:t xml:space="preserve"> have </w:t>
      </w:r>
      <w:proofErr w:type="gramStart"/>
      <w:r w:rsidR="7AB7C2C2" w:rsidRPr="68A3C7B1">
        <w:rPr>
          <w:rFonts w:ascii="Arial" w:hAnsi="Arial" w:cs="Arial"/>
          <w:sz w:val="28"/>
          <w:szCs w:val="28"/>
        </w:rPr>
        <w:t>a number of</w:t>
      </w:r>
      <w:proofErr w:type="gramEnd"/>
      <w:r w:rsidR="7AB7C2C2" w:rsidRPr="68A3C7B1">
        <w:rPr>
          <w:rFonts w:ascii="Arial" w:hAnsi="Arial" w:cs="Arial"/>
          <w:sz w:val="28"/>
          <w:szCs w:val="28"/>
        </w:rPr>
        <w:t xml:space="preserve"> attractive properties that criminals can exploit for ML/TF purposes. The use of </w:t>
      </w:r>
      <w:r w:rsidR="316D1C3F" w:rsidRPr="68A3C7B1">
        <w:rPr>
          <w:rFonts w:ascii="Arial" w:hAnsi="Arial" w:cs="Arial"/>
          <w:sz w:val="28"/>
          <w:szCs w:val="28"/>
        </w:rPr>
        <w:t>DA</w:t>
      </w:r>
      <w:r w:rsidR="153FB14E" w:rsidRPr="68A3C7B1">
        <w:rPr>
          <w:rFonts w:ascii="Arial" w:hAnsi="Arial" w:cs="Arial"/>
          <w:sz w:val="28"/>
          <w:szCs w:val="28"/>
        </w:rPr>
        <w:t>s</w:t>
      </w:r>
      <w:r w:rsidR="7AB7C2C2" w:rsidRPr="68A3C7B1">
        <w:rPr>
          <w:rFonts w:ascii="Arial" w:hAnsi="Arial" w:cs="Arial"/>
          <w:sz w:val="28"/>
          <w:szCs w:val="28"/>
        </w:rPr>
        <w:t xml:space="preserve"> is widely available, the use of </w:t>
      </w:r>
      <w:r w:rsidR="316D1C3F" w:rsidRPr="68A3C7B1">
        <w:rPr>
          <w:rFonts w:ascii="Arial" w:hAnsi="Arial" w:cs="Arial"/>
          <w:sz w:val="28"/>
          <w:szCs w:val="28"/>
        </w:rPr>
        <w:t>DA</w:t>
      </w:r>
      <w:r w:rsidR="5C650BB8" w:rsidRPr="68A3C7B1">
        <w:rPr>
          <w:rFonts w:ascii="Arial" w:hAnsi="Arial" w:cs="Arial"/>
          <w:sz w:val="28"/>
          <w:szCs w:val="28"/>
        </w:rPr>
        <w:t>s</w:t>
      </w:r>
      <w:r w:rsidR="7AB7C2C2" w:rsidRPr="68A3C7B1">
        <w:rPr>
          <w:rFonts w:ascii="Arial" w:hAnsi="Arial" w:cs="Arial"/>
          <w:sz w:val="28"/>
          <w:szCs w:val="28"/>
        </w:rPr>
        <w:t xml:space="preserve"> can be implemented through </w:t>
      </w:r>
      <w:proofErr w:type="gramStart"/>
      <w:r w:rsidR="7AB7C2C2" w:rsidRPr="68A3C7B1">
        <w:rPr>
          <w:rFonts w:ascii="Arial" w:hAnsi="Arial" w:cs="Arial"/>
          <w:sz w:val="28"/>
          <w:szCs w:val="28"/>
        </w:rPr>
        <w:t>a number of</w:t>
      </w:r>
      <w:proofErr w:type="gramEnd"/>
      <w:r w:rsidR="7AB7C2C2" w:rsidRPr="68A3C7B1">
        <w:rPr>
          <w:rFonts w:ascii="Arial" w:hAnsi="Arial" w:cs="Arial"/>
          <w:sz w:val="28"/>
          <w:szCs w:val="28"/>
        </w:rPr>
        <w:t xml:space="preserve"> means and/or at relatively low cost; this method is considered attractive and relatively safe, and does not require much planning, knowledge and/or technical experience. </w:t>
      </w:r>
    </w:p>
    <w:p w14:paraId="578BE21F" w14:textId="6E8E397A" w:rsidR="004A1724" w:rsidRPr="007B3F28" w:rsidRDefault="00EE07D1" w:rsidP="003B475F">
      <w:pPr>
        <w:spacing w:line="360" w:lineRule="auto"/>
        <w:jc w:val="both"/>
        <w:rPr>
          <w:rFonts w:ascii="Arial" w:hAnsi="Arial" w:cs="Arial"/>
          <w:sz w:val="28"/>
          <w:szCs w:val="28"/>
        </w:rPr>
      </w:pPr>
      <w:r>
        <w:rPr>
          <w:rFonts w:ascii="Arial" w:hAnsi="Arial" w:cs="Arial"/>
          <w:sz w:val="28"/>
          <w:szCs w:val="28"/>
        </w:rPr>
        <w:t xml:space="preserve">The overall assessment of the level of vulnerabilities shows that, </w:t>
      </w:r>
      <w:proofErr w:type="gramStart"/>
      <w:r>
        <w:rPr>
          <w:rFonts w:ascii="Arial" w:hAnsi="Arial" w:cs="Arial"/>
          <w:sz w:val="28"/>
          <w:szCs w:val="28"/>
        </w:rPr>
        <w:t>taking into account</w:t>
      </w:r>
      <w:proofErr w:type="gramEnd"/>
      <w:r>
        <w:rPr>
          <w:rFonts w:ascii="Arial" w:hAnsi="Arial" w:cs="Arial"/>
          <w:sz w:val="28"/>
          <w:szCs w:val="28"/>
        </w:rPr>
        <w:t xml:space="preserve"> risk mitigation measures, the degree of vulnerability of the AIFC for involvement in ML schemes is assessed as low, and the risk is </w:t>
      </w:r>
      <w:r w:rsidR="00DC1889" w:rsidRPr="00A835B7">
        <w:rPr>
          <w:rFonts w:ascii="Arial" w:hAnsi="Arial" w:cs="Arial"/>
          <w:b/>
          <w:bCs/>
          <w:sz w:val="28"/>
          <w:szCs w:val="28"/>
        </w:rPr>
        <w:t>medium</w:t>
      </w:r>
      <w:r w:rsidR="00406131" w:rsidRPr="00406131">
        <w:rPr>
          <w:rFonts w:ascii="Arial" w:hAnsi="Arial" w:cs="Arial"/>
          <w:sz w:val="28"/>
          <w:szCs w:val="28"/>
        </w:rPr>
        <w:t xml:space="preserve">. </w:t>
      </w:r>
    </w:p>
    <w:p w14:paraId="22BE7323" w14:textId="5FB991FE" w:rsidR="006B69FE" w:rsidRPr="007B3F28" w:rsidRDefault="00E000C8" w:rsidP="003B475F">
      <w:pPr>
        <w:spacing w:line="360" w:lineRule="auto"/>
        <w:jc w:val="both"/>
        <w:rPr>
          <w:rFonts w:ascii="Arial" w:hAnsi="Arial" w:cs="Arial"/>
          <w:sz w:val="28"/>
          <w:szCs w:val="28"/>
        </w:rPr>
      </w:pPr>
      <w:r w:rsidRPr="00E000C8">
        <w:rPr>
          <w:rFonts w:ascii="Arial" w:hAnsi="Arial" w:cs="Arial"/>
          <w:sz w:val="28"/>
          <w:szCs w:val="28"/>
        </w:rPr>
        <w:lastRenderedPageBreak/>
        <w:t xml:space="preserve">Further, the measures implemented to reduce the level of inherent risk, both from the point of view of the AIFC's preventive and supervisory procedures, and from the point of view of the Participants who comply with the AIFC requirements for their internal control systems, can significantly reduce the level of inherent risks. Thus, </w:t>
      </w:r>
      <w:proofErr w:type="gramStart"/>
      <w:r w:rsidRPr="00E000C8">
        <w:rPr>
          <w:rFonts w:ascii="Arial" w:hAnsi="Arial" w:cs="Arial"/>
          <w:sz w:val="28"/>
          <w:szCs w:val="28"/>
        </w:rPr>
        <w:t>taking into account</w:t>
      </w:r>
      <w:proofErr w:type="gramEnd"/>
      <w:r w:rsidRPr="00E000C8">
        <w:rPr>
          <w:rFonts w:ascii="Arial" w:hAnsi="Arial" w:cs="Arial"/>
          <w:sz w:val="28"/>
          <w:szCs w:val="28"/>
        </w:rPr>
        <w:t xml:space="preserve"> the risk mitigation measures, the degree of vulnerability of the AIFC for involvement in ML schemes is assessed as low, and the </w:t>
      </w:r>
      <w:r w:rsidRPr="00FE2C40">
        <w:rPr>
          <w:rFonts w:ascii="Arial" w:hAnsi="Arial" w:cs="Arial"/>
          <w:b/>
          <w:bCs/>
          <w:sz w:val="28"/>
          <w:szCs w:val="28"/>
        </w:rPr>
        <w:t>residual risks of the AIFC Participants are assessed as medium</w:t>
      </w:r>
      <w:r w:rsidRPr="00E000C8">
        <w:rPr>
          <w:rFonts w:ascii="Arial" w:hAnsi="Arial" w:cs="Arial"/>
          <w:sz w:val="28"/>
          <w:szCs w:val="28"/>
        </w:rPr>
        <w:t>.</w:t>
      </w:r>
    </w:p>
    <w:p w14:paraId="7D374152" w14:textId="4B887946" w:rsidR="000F0101" w:rsidRPr="007B3F28" w:rsidRDefault="007B4DA9" w:rsidP="003B475F">
      <w:pPr>
        <w:spacing w:line="360" w:lineRule="auto"/>
        <w:jc w:val="both"/>
        <w:rPr>
          <w:rFonts w:ascii="Arial" w:hAnsi="Arial" w:cs="Arial"/>
          <w:sz w:val="28"/>
          <w:szCs w:val="28"/>
        </w:rPr>
      </w:pPr>
      <w:r w:rsidRPr="007B4DA9">
        <w:rPr>
          <w:rFonts w:ascii="Arial" w:hAnsi="Arial" w:cs="Arial"/>
          <w:sz w:val="28"/>
          <w:szCs w:val="28"/>
        </w:rPr>
        <w:t xml:space="preserve">In this area of activity, the AIFC has deterrent measures and control measures that allow quite effectively preventing cases of money laundering and terrorist financing. Among the characteristics that reduce the risks of the </w:t>
      </w:r>
      <w:r w:rsidR="009E0025">
        <w:rPr>
          <w:rFonts w:ascii="Arial" w:hAnsi="Arial" w:cs="Arial"/>
          <w:sz w:val="28"/>
          <w:szCs w:val="28"/>
        </w:rPr>
        <w:t>DA</w:t>
      </w:r>
      <w:r w:rsidRPr="007B4DA9">
        <w:rPr>
          <w:rFonts w:ascii="Arial" w:hAnsi="Arial" w:cs="Arial"/>
          <w:sz w:val="28"/>
          <w:szCs w:val="28"/>
        </w:rPr>
        <w:t xml:space="preserve"> sector in the AIFC, it is necessary to designate, in addition to the above, the following:</w:t>
      </w:r>
    </w:p>
    <w:p w14:paraId="00EA130E" w14:textId="2FE89A9F" w:rsidR="004A1724" w:rsidRPr="007B3F28" w:rsidRDefault="000449BD" w:rsidP="00FE2C40">
      <w:pPr>
        <w:pStyle w:val="ListParagraph"/>
        <w:numPr>
          <w:ilvl w:val="0"/>
          <w:numId w:val="17"/>
        </w:numPr>
        <w:spacing w:line="360" w:lineRule="auto"/>
        <w:jc w:val="both"/>
        <w:rPr>
          <w:rFonts w:ascii="Arial" w:hAnsi="Arial" w:cs="Arial"/>
          <w:sz w:val="28"/>
          <w:szCs w:val="28"/>
        </w:rPr>
      </w:pPr>
      <w:r w:rsidRPr="00FE2C40">
        <w:rPr>
          <w:rFonts w:ascii="Arial" w:hAnsi="Arial" w:cs="Arial"/>
          <w:sz w:val="28"/>
          <w:szCs w:val="28"/>
        </w:rPr>
        <w:t xml:space="preserve">the presence of constant supervision over the activities of </w:t>
      </w:r>
      <w:proofErr w:type="gramStart"/>
      <w:r w:rsidRPr="00FE2C40">
        <w:rPr>
          <w:rFonts w:ascii="Arial" w:hAnsi="Arial" w:cs="Arial"/>
          <w:sz w:val="28"/>
          <w:szCs w:val="28"/>
        </w:rPr>
        <w:t>companies;</w:t>
      </w:r>
      <w:proofErr w:type="gramEnd"/>
      <w:r w:rsidRPr="00FE2C40">
        <w:rPr>
          <w:rFonts w:ascii="Arial" w:hAnsi="Arial" w:cs="Arial"/>
          <w:sz w:val="28"/>
          <w:szCs w:val="28"/>
        </w:rPr>
        <w:t xml:space="preserve"> </w:t>
      </w:r>
    </w:p>
    <w:p w14:paraId="18D0FF3F" w14:textId="74572800" w:rsidR="00187704" w:rsidRPr="007B3F28" w:rsidRDefault="00DC51E5" w:rsidP="00FE2C40">
      <w:pPr>
        <w:pStyle w:val="ListParagraph"/>
        <w:numPr>
          <w:ilvl w:val="0"/>
          <w:numId w:val="17"/>
        </w:numPr>
        <w:spacing w:line="360" w:lineRule="auto"/>
        <w:jc w:val="both"/>
        <w:rPr>
          <w:rFonts w:ascii="Arial" w:hAnsi="Arial" w:cs="Arial"/>
          <w:sz w:val="28"/>
          <w:szCs w:val="28"/>
        </w:rPr>
      </w:pPr>
      <w:r w:rsidRPr="00FE2C40">
        <w:rPr>
          <w:rFonts w:ascii="Arial" w:hAnsi="Arial" w:cs="Arial"/>
          <w:sz w:val="28"/>
          <w:szCs w:val="28"/>
        </w:rPr>
        <w:t>a limited number of products, services or transactions that facilitate very fast or anonymous transactions/</w:t>
      </w:r>
      <w:proofErr w:type="gramStart"/>
      <w:r w:rsidRPr="00FE2C40">
        <w:rPr>
          <w:rFonts w:ascii="Arial" w:hAnsi="Arial" w:cs="Arial"/>
          <w:sz w:val="28"/>
          <w:szCs w:val="28"/>
        </w:rPr>
        <w:t>operations;</w:t>
      </w:r>
      <w:proofErr w:type="gramEnd"/>
      <w:r w:rsidRPr="00FE2C40">
        <w:rPr>
          <w:rFonts w:ascii="Arial" w:hAnsi="Arial" w:cs="Arial"/>
          <w:sz w:val="28"/>
          <w:szCs w:val="28"/>
        </w:rPr>
        <w:t xml:space="preserve"> </w:t>
      </w:r>
    </w:p>
    <w:p w14:paraId="4911253B" w14:textId="4A46242B" w:rsidR="009715F0" w:rsidRPr="00FE2C40" w:rsidRDefault="009715F0" w:rsidP="00FE2C40">
      <w:pPr>
        <w:pStyle w:val="ListParagraph"/>
        <w:numPr>
          <w:ilvl w:val="0"/>
          <w:numId w:val="17"/>
        </w:numPr>
        <w:spacing w:line="360" w:lineRule="auto"/>
        <w:jc w:val="both"/>
        <w:rPr>
          <w:rFonts w:ascii="Arial" w:hAnsi="Arial" w:cs="Arial"/>
          <w:sz w:val="28"/>
          <w:szCs w:val="28"/>
          <w:lang w:val="ru-RU"/>
        </w:rPr>
      </w:pPr>
      <w:r>
        <w:rPr>
          <w:rFonts w:ascii="Arial" w:hAnsi="Arial" w:cs="Arial"/>
          <w:sz w:val="28"/>
          <w:szCs w:val="28"/>
        </w:rPr>
        <w:t xml:space="preserve">cash </w:t>
      </w:r>
      <w:proofErr w:type="gramStart"/>
      <w:r>
        <w:rPr>
          <w:rFonts w:ascii="Arial" w:hAnsi="Arial" w:cs="Arial"/>
          <w:sz w:val="28"/>
          <w:szCs w:val="28"/>
        </w:rPr>
        <w:t>limitation;</w:t>
      </w:r>
      <w:proofErr w:type="gramEnd"/>
    </w:p>
    <w:p w14:paraId="34C2F292" w14:textId="7420CCB3" w:rsidR="004A1724" w:rsidRPr="007B3F28" w:rsidRDefault="004A1724" w:rsidP="00FE2C40">
      <w:pPr>
        <w:pStyle w:val="ListParagraph"/>
        <w:numPr>
          <w:ilvl w:val="0"/>
          <w:numId w:val="17"/>
        </w:numPr>
        <w:spacing w:line="360" w:lineRule="auto"/>
        <w:jc w:val="both"/>
        <w:rPr>
          <w:rFonts w:ascii="Arial" w:hAnsi="Arial" w:cs="Arial"/>
          <w:sz w:val="28"/>
          <w:szCs w:val="28"/>
        </w:rPr>
      </w:pPr>
      <w:r w:rsidRPr="00FE2C40">
        <w:rPr>
          <w:rFonts w:ascii="Arial" w:hAnsi="Arial" w:cs="Arial"/>
          <w:sz w:val="28"/>
          <w:szCs w:val="28"/>
        </w:rPr>
        <w:t xml:space="preserve">mainly secure and/or controlled supply chains are </w:t>
      </w:r>
      <w:proofErr w:type="gramStart"/>
      <w:r w:rsidRPr="00FE2C40">
        <w:rPr>
          <w:rFonts w:ascii="Arial" w:hAnsi="Arial" w:cs="Arial"/>
          <w:sz w:val="28"/>
          <w:szCs w:val="28"/>
        </w:rPr>
        <w:t>used;</w:t>
      </w:r>
      <w:proofErr w:type="gramEnd"/>
    </w:p>
    <w:p w14:paraId="353CA6AF" w14:textId="4BC3158E" w:rsidR="00112F8C" w:rsidRPr="007B3F28" w:rsidRDefault="00FE2C40" w:rsidP="00FE2C40">
      <w:pPr>
        <w:pStyle w:val="ListParagraph"/>
        <w:numPr>
          <w:ilvl w:val="0"/>
          <w:numId w:val="17"/>
        </w:numPr>
        <w:spacing w:line="360" w:lineRule="auto"/>
        <w:jc w:val="both"/>
        <w:rPr>
          <w:rFonts w:ascii="Arial" w:hAnsi="Arial" w:cs="Arial"/>
          <w:sz w:val="28"/>
          <w:szCs w:val="28"/>
        </w:rPr>
      </w:pPr>
      <w:r>
        <w:rPr>
          <w:rFonts w:ascii="Arial" w:hAnsi="Arial" w:cs="Arial"/>
          <w:sz w:val="28"/>
          <w:szCs w:val="28"/>
        </w:rPr>
        <w:t xml:space="preserve">new technologies and/or new payment methods are effectively </w:t>
      </w:r>
      <w:proofErr w:type="gramStart"/>
      <w:r>
        <w:rPr>
          <w:rFonts w:ascii="Arial" w:hAnsi="Arial" w:cs="Arial"/>
          <w:sz w:val="28"/>
          <w:szCs w:val="28"/>
        </w:rPr>
        <w:t>managed;</w:t>
      </w:r>
      <w:proofErr w:type="gramEnd"/>
      <w:r>
        <w:rPr>
          <w:rFonts w:ascii="Arial" w:hAnsi="Arial" w:cs="Arial"/>
          <w:sz w:val="28"/>
          <w:szCs w:val="28"/>
        </w:rPr>
        <w:t xml:space="preserve"> </w:t>
      </w:r>
    </w:p>
    <w:p w14:paraId="35889C19" w14:textId="77777777" w:rsidR="00FE2C40" w:rsidRPr="007B3F28" w:rsidRDefault="004A1724" w:rsidP="00FE2C40">
      <w:pPr>
        <w:pStyle w:val="ListParagraph"/>
        <w:numPr>
          <w:ilvl w:val="0"/>
          <w:numId w:val="17"/>
        </w:numPr>
        <w:spacing w:line="360" w:lineRule="auto"/>
        <w:jc w:val="both"/>
        <w:rPr>
          <w:rFonts w:ascii="Arial" w:hAnsi="Arial" w:cs="Arial"/>
          <w:sz w:val="28"/>
          <w:szCs w:val="28"/>
        </w:rPr>
      </w:pPr>
      <w:r w:rsidRPr="00FE2C40">
        <w:rPr>
          <w:rFonts w:ascii="Arial" w:hAnsi="Arial" w:cs="Arial"/>
          <w:sz w:val="28"/>
          <w:szCs w:val="28"/>
        </w:rPr>
        <w:t xml:space="preserve">a relatively small number of high-risk </w:t>
      </w:r>
      <w:proofErr w:type="gramStart"/>
      <w:r w:rsidRPr="00FE2C40">
        <w:rPr>
          <w:rFonts w:ascii="Arial" w:hAnsi="Arial" w:cs="Arial"/>
          <w:sz w:val="28"/>
          <w:szCs w:val="28"/>
        </w:rPr>
        <w:t>customers;</w:t>
      </w:r>
      <w:proofErr w:type="gramEnd"/>
      <w:r w:rsidRPr="00FE2C40">
        <w:rPr>
          <w:rFonts w:ascii="Arial" w:hAnsi="Arial" w:cs="Arial"/>
          <w:sz w:val="28"/>
          <w:szCs w:val="28"/>
        </w:rPr>
        <w:t xml:space="preserve"> </w:t>
      </w:r>
    </w:p>
    <w:p w14:paraId="54EC8B72" w14:textId="3D99B614" w:rsidR="00FE2C40" w:rsidRPr="00A923F5" w:rsidRDefault="009E0025" w:rsidP="003B475F">
      <w:pPr>
        <w:pStyle w:val="ListParagraph"/>
        <w:numPr>
          <w:ilvl w:val="0"/>
          <w:numId w:val="17"/>
        </w:numPr>
        <w:spacing w:line="360" w:lineRule="auto"/>
        <w:jc w:val="both"/>
        <w:rPr>
          <w:rFonts w:ascii="Arial" w:hAnsi="Arial" w:cs="Arial"/>
          <w:sz w:val="28"/>
          <w:szCs w:val="28"/>
        </w:rPr>
      </w:pPr>
      <w:r>
        <w:rPr>
          <w:rFonts w:ascii="Arial" w:hAnsi="Arial" w:cs="Arial"/>
          <w:sz w:val="28"/>
          <w:szCs w:val="28"/>
        </w:rPr>
        <w:t>t</w:t>
      </w:r>
      <w:r w:rsidR="004A1724" w:rsidRPr="00FE2C40">
        <w:rPr>
          <w:rFonts w:ascii="Arial" w:hAnsi="Arial" w:cs="Arial"/>
          <w:sz w:val="28"/>
          <w:szCs w:val="28"/>
        </w:rPr>
        <w:t xml:space="preserve">here is a relatively small number of customers located in regions identified as high-risk. </w:t>
      </w:r>
    </w:p>
    <w:p w14:paraId="6541F667" w14:textId="77777777" w:rsidR="00714CDE" w:rsidRDefault="00714CDE" w:rsidP="003B475F">
      <w:pPr>
        <w:spacing w:line="360" w:lineRule="auto"/>
        <w:jc w:val="both"/>
        <w:rPr>
          <w:rFonts w:ascii="Arial" w:hAnsi="Arial" w:cs="Arial"/>
          <w:b/>
          <w:bCs/>
          <w:sz w:val="28"/>
          <w:szCs w:val="28"/>
        </w:rPr>
      </w:pPr>
    </w:p>
    <w:p w14:paraId="65C37353" w14:textId="77777777" w:rsidR="00714CDE" w:rsidRDefault="00714CDE" w:rsidP="003B475F">
      <w:pPr>
        <w:spacing w:line="360" w:lineRule="auto"/>
        <w:jc w:val="both"/>
        <w:rPr>
          <w:rFonts w:ascii="Arial" w:hAnsi="Arial" w:cs="Arial"/>
          <w:b/>
          <w:bCs/>
          <w:sz w:val="28"/>
          <w:szCs w:val="28"/>
        </w:rPr>
      </w:pPr>
    </w:p>
    <w:p w14:paraId="3C0A5A8A" w14:textId="77777777" w:rsidR="00714CDE" w:rsidRDefault="00714CDE" w:rsidP="003B475F">
      <w:pPr>
        <w:spacing w:line="360" w:lineRule="auto"/>
        <w:jc w:val="both"/>
        <w:rPr>
          <w:rFonts w:ascii="Arial" w:hAnsi="Arial" w:cs="Arial"/>
          <w:b/>
          <w:bCs/>
          <w:sz w:val="28"/>
          <w:szCs w:val="28"/>
        </w:rPr>
      </w:pPr>
    </w:p>
    <w:p w14:paraId="5F86D0EB" w14:textId="77777777" w:rsidR="00714CDE" w:rsidRDefault="00714CDE" w:rsidP="003B475F">
      <w:pPr>
        <w:spacing w:line="360" w:lineRule="auto"/>
        <w:jc w:val="both"/>
        <w:rPr>
          <w:rFonts w:ascii="Arial" w:hAnsi="Arial" w:cs="Arial"/>
          <w:b/>
          <w:bCs/>
          <w:sz w:val="28"/>
          <w:szCs w:val="28"/>
        </w:rPr>
      </w:pPr>
    </w:p>
    <w:p w14:paraId="699DE864" w14:textId="2E96AEFA" w:rsidR="00886BA2" w:rsidRPr="007B3F28" w:rsidRDefault="00A923F5" w:rsidP="003B475F">
      <w:pPr>
        <w:spacing w:line="360" w:lineRule="auto"/>
        <w:jc w:val="both"/>
        <w:rPr>
          <w:rFonts w:ascii="Arial" w:hAnsi="Arial" w:cs="Arial"/>
          <w:sz w:val="28"/>
          <w:szCs w:val="28"/>
        </w:rPr>
      </w:pPr>
      <w:r>
        <w:rPr>
          <w:rFonts w:ascii="Arial" w:hAnsi="Arial" w:cs="Arial"/>
          <w:b/>
          <w:bCs/>
          <w:sz w:val="28"/>
          <w:szCs w:val="28"/>
        </w:rPr>
        <w:lastRenderedPageBreak/>
        <w:t>Conclusion</w:t>
      </w:r>
      <w:r w:rsidR="008A64A8" w:rsidRPr="0001762B">
        <w:rPr>
          <w:rFonts w:ascii="Arial" w:hAnsi="Arial" w:cs="Arial"/>
          <w:b/>
          <w:bCs/>
          <w:sz w:val="28"/>
          <w:szCs w:val="28"/>
        </w:rPr>
        <w:t xml:space="preserve">: </w:t>
      </w:r>
    </w:p>
    <w:p w14:paraId="34D091A9" w14:textId="3FA4A937" w:rsidR="00F11E7C" w:rsidRPr="007B3F28" w:rsidRDefault="24B35CA2" w:rsidP="003B475F">
      <w:pPr>
        <w:spacing w:line="360" w:lineRule="auto"/>
        <w:jc w:val="both"/>
        <w:rPr>
          <w:rFonts w:ascii="Arial" w:hAnsi="Arial" w:cs="Arial"/>
          <w:b/>
          <w:bCs/>
          <w:sz w:val="28"/>
          <w:szCs w:val="28"/>
        </w:rPr>
      </w:pPr>
      <w:r w:rsidRPr="68A3C7B1">
        <w:rPr>
          <w:rFonts w:ascii="Arial" w:hAnsi="Arial" w:cs="Arial"/>
          <w:sz w:val="28"/>
          <w:szCs w:val="28"/>
        </w:rPr>
        <w:t xml:space="preserve">The scale of the AIFC </w:t>
      </w:r>
      <w:r w:rsidR="316D1C3F" w:rsidRPr="68A3C7B1">
        <w:rPr>
          <w:rFonts w:ascii="Arial" w:hAnsi="Arial" w:cs="Arial"/>
          <w:sz w:val="28"/>
          <w:szCs w:val="28"/>
        </w:rPr>
        <w:t>DA</w:t>
      </w:r>
      <w:r w:rsidRPr="68A3C7B1">
        <w:rPr>
          <w:rFonts w:ascii="Arial" w:hAnsi="Arial" w:cs="Arial"/>
          <w:sz w:val="28"/>
          <w:szCs w:val="28"/>
        </w:rPr>
        <w:t xml:space="preserve"> sector, the presence and understanding of the identified threats and vulnerabilities of the area under consideration, </w:t>
      </w:r>
      <w:proofErr w:type="gramStart"/>
      <w:r w:rsidRPr="68A3C7B1">
        <w:rPr>
          <w:rFonts w:ascii="Arial" w:hAnsi="Arial" w:cs="Arial"/>
          <w:sz w:val="28"/>
          <w:szCs w:val="28"/>
        </w:rPr>
        <w:t>taking into account</w:t>
      </w:r>
      <w:proofErr w:type="gramEnd"/>
      <w:r w:rsidRPr="68A3C7B1">
        <w:rPr>
          <w:rFonts w:ascii="Arial" w:hAnsi="Arial" w:cs="Arial"/>
          <w:sz w:val="28"/>
          <w:szCs w:val="28"/>
        </w:rPr>
        <w:t xml:space="preserve"> the measures applied in accordance with international practice and FATF requirements, allow us to conclude that there is a high level of inherent risks, and </w:t>
      </w:r>
      <w:r w:rsidR="39081EA3" w:rsidRPr="68A3C7B1">
        <w:rPr>
          <w:rFonts w:ascii="Arial" w:hAnsi="Arial" w:cs="Arial"/>
          <w:b/>
          <w:bCs/>
          <w:sz w:val="28"/>
          <w:szCs w:val="28"/>
        </w:rPr>
        <w:t>a</w:t>
      </w:r>
      <w:r w:rsidR="40DEC767" w:rsidRPr="68A3C7B1">
        <w:rPr>
          <w:rFonts w:ascii="Arial" w:hAnsi="Arial" w:cs="Arial"/>
          <w:b/>
          <w:bCs/>
          <w:sz w:val="28"/>
          <w:szCs w:val="28"/>
        </w:rPr>
        <w:t xml:space="preserve"> medium</w:t>
      </w:r>
      <w:r w:rsidR="39081EA3" w:rsidRPr="68A3C7B1">
        <w:rPr>
          <w:rFonts w:ascii="Arial" w:hAnsi="Arial" w:cs="Arial"/>
          <w:b/>
          <w:bCs/>
          <w:sz w:val="28"/>
          <w:szCs w:val="28"/>
        </w:rPr>
        <w:t xml:space="preserve"> level </w:t>
      </w:r>
      <w:r w:rsidRPr="68A3C7B1">
        <w:rPr>
          <w:rFonts w:ascii="Arial" w:hAnsi="Arial" w:cs="Arial"/>
          <w:sz w:val="28"/>
          <w:szCs w:val="28"/>
        </w:rPr>
        <w:t xml:space="preserve">of residual risks of using the </w:t>
      </w:r>
      <w:r w:rsidR="316D1C3F" w:rsidRPr="68A3C7B1">
        <w:rPr>
          <w:rFonts w:ascii="Arial" w:hAnsi="Arial" w:cs="Arial"/>
          <w:sz w:val="28"/>
          <w:szCs w:val="28"/>
        </w:rPr>
        <w:t>DA</w:t>
      </w:r>
      <w:r w:rsidRPr="68A3C7B1">
        <w:rPr>
          <w:rFonts w:ascii="Arial" w:hAnsi="Arial" w:cs="Arial"/>
          <w:sz w:val="28"/>
          <w:szCs w:val="28"/>
        </w:rPr>
        <w:t xml:space="preserve"> sector for ML/TF purposes. </w:t>
      </w:r>
    </w:p>
    <w:p w14:paraId="02449E45" w14:textId="5228B3E0" w:rsidR="0062016F" w:rsidRPr="007B3F28" w:rsidRDefault="00C3785F" w:rsidP="003B475F">
      <w:pPr>
        <w:spacing w:line="360" w:lineRule="auto"/>
        <w:jc w:val="both"/>
        <w:rPr>
          <w:rFonts w:ascii="Arial" w:hAnsi="Arial" w:cs="Arial"/>
          <w:sz w:val="28"/>
          <w:szCs w:val="28"/>
        </w:rPr>
      </w:pPr>
      <w:r w:rsidRPr="00C3785F">
        <w:rPr>
          <w:rFonts w:ascii="Arial" w:hAnsi="Arial" w:cs="Arial"/>
          <w:sz w:val="28"/>
          <w:szCs w:val="28"/>
        </w:rPr>
        <w:t>The results of the sectoral risk assessment are used by the AIFC as part of further supervisory activities. Namely, based on the findings obtained, measures are developed and taken to eliminate and minimize ML/TF risks, including the scope and frequency of subsequent control activities, strategies are developed to manage the identified risks, which provide for measures, including prevention, pre</w:t>
      </w:r>
      <w:r w:rsidR="009E0025">
        <w:rPr>
          <w:rFonts w:ascii="Arial" w:hAnsi="Arial" w:cs="Arial"/>
          <w:sz w:val="28"/>
          <w:szCs w:val="28"/>
        </w:rPr>
        <w:t>cau</w:t>
      </w:r>
      <w:r w:rsidRPr="00C3785F">
        <w:rPr>
          <w:rFonts w:ascii="Arial" w:hAnsi="Arial" w:cs="Arial"/>
          <w:sz w:val="28"/>
          <w:szCs w:val="28"/>
        </w:rPr>
        <w:t xml:space="preserve">tion, </w:t>
      </w:r>
      <w:r w:rsidR="009E0025">
        <w:rPr>
          <w:rFonts w:ascii="Arial" w:hAnsi="Arial" w:cs="Arial"/>
          <w:sz w:val="28"/>
          <w:szCs w:val="28"/>
        </w:rPr>
        <w:t>risks mitigation</w:t>
      </w:r>
      <w:r w:rsidRPr="00C3785F">
        <w:rPr>
          <w:rFonts w:ascii="Arial" w:hAnsi="Arial" w:cs="Arial"/>
          <w:sz w:val="28"/>
          <w:szCs w:val="28"/>
        </w:rPr>
        <w:t xml:space="preserve"> and an action plan to reduce them (Remediation Plan). Such measures include increasing the frequency of updating data on the number and quality of companies' customers, strengthening regulatory control, implementing risk-based supervision in the sector (desk based/on-site/thematic reviews or inspections) in order to increase the awareness and quality of the expert staff responsible for AML/CFT and compliance, holding regular meetings with supervised companies, conducting training and information events, and regularly providing participants with sectors of typological reports and signs of ML/TF, more active interaction with law enforcement agencies, etc.</w:t>
      </w:r>
    </w:p>
    <w:sectPr w:rsidR="0062016F" w:rsidRPr="007B3F28">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E8D5F" w14:textId="77777777" w:rsidR="002E789C" w:rsidRDefault="002E789C" w:rsidP="00B33136">
      <w:pPr>
        <w:spacing w:after="0" w:line="240" w:lineRule="auto"/>
      </w:pPr>
      <w:r>
        <w:separator/>
      </w:r>
    </w:p>
  </w:endnote>
  <w:endnote w:type="continuationSeparator" w:id="0">
    <w:p w14:paraId="706D3DAC" w14:textId="77777777" w:rsidR="002E789C" w:rsidRDefault="002E789C" w:rsidP="00B33136">
      <w:pPr>
        <w:spacing w:after="0" w:line="240" w:lineRule="auto"/>
      </w:pPr>
      <w:r>
        <w:continuationSeparator/>
      </w:r>
    </w:p>
  </w:endnote>
  <w:endnote w:type="continuationNotice" w:id="1">
    <w:p w14:paraId="27BFACA6" w14:textId="77777777" w:rsidR="002E789C" w:rsidRDefault="002E7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0F3F" w14:textId="440D7DD6" w:rsidR="00B33136" w:rsidRDefault="00B33136">
    <w:pPr>
      <w:pStyle w:val="Footer"/>
    </w:pPr>
    <w:r>
      <w:rPr>
        <w:noProof/>
      </w:rPr>
      <mc:AlternateContent>
        <mc:Choice Requires="wps">
          <w:drawing>
            <wp:anchor distT="0" distB="0" distL="0" distR="0" simplePos="0" relativeHeight="251658244" behindDoc="0" locked="0" layoutInCell="1" allowOverlap="1" wp14:anchorId="54A1642A" wp14:editId="1066B8FE">
              <wp:simplePos x="635" y="635"/>
              <wp:positionH relativeFrom="page">
                <wp:align>center</wp:align>
              </wp:positionH>
              <wp:positionV relativeFrom="page">
                <wp:align>bottom</wp:align>
              </wp:positionV>
              <wp:extent cx="443865" cy="443865"/>
              <wp:effectExtent l="0" t="0" r="7620" b="0"/>
              <wp:wrapNone/>
              <wp:docPr id="825951778"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874AF" w14:textId="58E14C18"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1642A" id="_x0000_t202" coordsize="21600,21600" o:spt="202" path="m,l,21600r21600,l21600,xe">
              <v:stroke joinstyle="miter"/>
              <v:path gradientshapeok="t" o:connecttype="rect"/>
            </v:shapetype>
            <v:shape id="Text Box 5" o:spid="_x0000_s1028" type="#_x0000_t202" alt="Classification: Restrict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3874AF" w14:textId="58E14C18"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C625" w14:textId="0316916B" w:rsidR="00B33136" w:rsidRDefault="00B33136">
    <w:pPr>
      <w:pStyle w:val="Footer"/>
    </w:pPr>
    <w:r>
      <w:rPr>
        <w:noProof/>
      </w:rPr>
      <mc:AlternateContent>
        <mc:Choice Requires="wps">
          <w:drawing>
            <wp:anchor distT="0" distB="0" distL="0" distR="0" simplePos="0" relativeHeight="251658245" behindDoc="0" locked="0" layoutInCell="1" allowOverlap="1" wp14:anchorId="13D56DEC" wp14:editId="05FFBB56">
              <wp:simplePos x="635" y="635"/>
              <wp:positionH relativeFrom="page">
                <wp:align>center</wp:align>
              </wp:positionH>
              <wp:positionV relativeFrom="page">
                <wp:align>bottom</wp:align>
              </wp:positionV>
              <wp:extent cx="443865" cy="443865"/>
              <wp:effectExtent l="0" t="0" r="7620" b="0"/>
              <wp:wrapNone/>
              <wp:docPr id="200049414"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26714" w14:textId="31594D2C"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56DEC" id="_x0000_t202" coordsize="21600,21600" o:spt="202" path="m,l,21600r21600,l21600,xe">
              <v:stroke joinstyle="miter"/>
              <v:path gradientshapeok="t" o:connecttype="rect"/>
            </v:shapetype>
            <v:shape id="Text Box 6" o:spid="_x0000_s1029" type="#_x0000_t202" alt="Classification: Restricted"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0A26714" w14:textId="31594D2C"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F29E" w14:textId="68B389C1" w:rsidR="00B33136" w:rsidRDefault="00B33136">
    <w:pPr>
      <w:pStyle w:val="Footer"/>
    </w:pPr>
    <w:r>
      <w:rPr>
        <w:noProof/>
      </w:rPr>
      <mc:AlternateContent>
        <mc:Choice Requires="wps">
          <w:drawing>
            <wp:anchor distT="0" distB="0" distL="0" distR="0" simplePos="0" relativeHeight="251658243" behindDoc="0" locked="0" layoutInCell="1" allowOverlap="1" wp14:anchorId="4AB89751" wp14:editId="5F3242ED">
              <wp:simplePos x="635" y="635"/>
              <wp:positionH relativeFrom="page">
                <wp:align>center</wp:align>
              </wp:positionH>
              <wp:positionV relativeFrom="page">
                <wp:align>bottom</wp:align>
              </wp:positionV>
              <wp:extent cx="443865" cy="443865"/>
              <wp:effectExtent l="0" t="0" r="7620" b="0"/>
              <wp:wrapNone/>
              <wp:docPr id="1906584770"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243D3" w14:textId="5F10BBC9"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89751" id="_x0000_t202" coordsize="21600,21600" o:spt="202" path="m,l,21600r21600,l21600,xe">
              <v:stroke joinstyle="miter"/>
              <v:path gradientshapeok="t" o:connecttype="rect"/>
            </v:shapetype>
            <v:shape id="Text Box 4" o:spid="_x0000_s1031" type="#_x0000_t202" alt="Classification: Restricted"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FA243D3" w14:textId="5F10BBC9"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12B01" w14:textId="77777777" w:rsidR="002E789C" w:rsidRDefault="002E789C" w:rsidP="00B33136">
      <w:pPr>
        <w:spacing w:after="0" w:line="240" w:lineRule="auto"/>
      </w:pPr>
      <w:r>
        <w:separator/>
      </w:r>
    </w:p>
  </w:footnote>
  <w:footnote w:type="continuationSeparator" w:id="0">
    <w:p w14:paraId="1DB582DB" w14:textId="77777777" w:rsidR="002E789C" w:rsidRDefault="002E789C" w:rsidP="00B33136">
      <w:pPr>
        <w:spacing w:after="0" w:line="240" w:lineRule="auto"/>
      </w:pPr>
      <w:r>
        <w:continuationSeparator/>
      </w:r>
    </w:p>
  </w:footnote>
  <w:footnote w:type="continuationNotice" w:id="1">
    <w:p w14:paraId="0FA184A2" w14:textId="77777777" w:rsidR="002E789C" w:rsidRDefault="002E789C">
      <w:pPr>
        <w:spacing w:after="0" w:line="240" w:lineRule="auto"/>
      </w:pPr>
    </w:p>
  </w:footnote>
  <w:footnote w:id="2">
    <w:p w14:paraId="15179A93" w14:textId="501AF514" w:rsidR="000D7424" w:rsidRPr="007B3F28" w:rsidRDefault="000D7424" w:rsidP="00C616FA">
      <w:pPr>
        <w:pStyle w:val="FootnoteText"/>
        <w:jc w:val="both"/>
      </w:pPr>
      <w:r>
        <w:rPr>
          <w:rStyle w:val="FootnoteReference"/>
        </w:rPr>
        <w:footnoteRef/>
      </w:r>
      <w:r w:rsidRPr="00C616FA">
        <w:t xml:space="preserve"> Blockchain is a technology (data structure and program code) of a distributed ledger network in which data is structured in the form of a chain (sequence) of cryptographically linked blocks of transactions. Each block contains an encrypted link to the previous one to ensure the immutability of the records.</w:t>
      </w:r>
    </w:p>
  </w:footnote>
  <w:footnote w:id="3">
    <w:p w14:paraId="66CAF4EC" w14:textId="65329850" w:rsidR="00E47EDF" w:rsidRPr="007B3F28" w:rsidRDefault="00E47EDF" w:rsidP="00C616FA">
      <w:pPr>
        <w:pStyle w:val="FootnoteText"/>
        <w:jc w:val="both"/>
      </w:pPr>
      <w:r>
        <w:rPr>
          <w:rStyle w:val="FootnoteReference"/>
        </w:rPr>
        <w:footnoteRef/>
      </w:r>
      <w:r w:rsidRPr="00C616FA">
        <w:t xml:space="preserve"> A smart contract is an algorithm (program code) that fixes the rights and obligations of the parties to the transaction, the terms of contractual relations, as well as their future automatic execution in a distributed ledger</w:t>
      </w:r>
      <w:r w:rsidR="00714CDE">
        <w:t>.</w:t>
      </w:r>
    </w:p>
  </w:footnote>
  <w:footnote w:id="4">
    <w:p w14:paraId="3E16C06E" w14:textId="77777777" w:rsidR="00855763" w:rsidRPr="007B3F28" w:rsidRDefault="00855763" w:rsidP="00ED368C">
      <w:pPr>
        <w:pStyle w:val="FootnoteText"/>
        <w:jc w:val="both"/>
      </w:pPr>
      <w:r w:rsidRPr="00ED368C">
        <w:rPr>
          <w:rStyle w:val="FootnoteReference"/>
        </w:rPr>
        <w:footnoteRef/>
      </w:r>
      <w:r w:rsidRPr="00ED368C">
        <w:t xml:space="preserve"> This wording of the suspicious transaction sign was used in the previous version of Order No13 of the AFM of the Republic of Kazakhstan "On Approval of the Rules for Submission by Financial Monitoring Entities of Data and Information on Transactions Subject to Financial Monitoring and Signs of Determining a Suspicious </w:t>
      </w:r>
      <w:r w:rsidRPr="00ED368C">
        <w:t>Transaction"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57A9" w14:textId="71AAAB4F" w:rsidR="00B33136" w:rsidRDefault="00B33136">
    <w:pPr>
      <w:pStyle w:val="Header"/>
    </w:pPr>
    <w:r>
      <w:rPr>
        <w:noProof/>
      </w:rPr>
      <mc:AlternateContent>
        <mc:Choice Requires="wps">
          <w:drawing>
            <wp:anchor distT="0" distB="0" distL="0" distR="0" simplePos="0" relativeHeight="251658241" behindDoc="0" locked="0" layoutInCell="1" allowOverlap="1" wp14:anchorId="3B7ADEF9" wp14:editId="4749DD9B">
              <wp:simplePos x="635" y="635"/>
              <wp:positionH relativeFrom="page">
                <wp:align>center</wp:align>
              </wp:positionH>
              <wp:positionV relativeFrom="page">
                <wp:align>top</wp:align>
              </wp:positionV>
              <wp:extent cx="443865" cy="443865"/>
              <wp:effectExtent l="0" t="0" r="7620" b="18415"/>
              <wp:wrapNone/>
              <wp:docPr id="75181213"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40CF6" w14:textId="1811E2A8"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ADEF9" id="_x0000_t202" coordsize="21600,21600" o:spt="202" path="m,l,21600r21600,l21600,xe">
              <v:stroke joinstyle="miter"/>
              <v:path gradientshapeok="t" o:connecttype="rect"/>
            </v:shapetype>
            <v:shape id="Text Box 2" o:spid="_x0000_s1026" type="#_x0000_t202" alt="Classification: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240CF6" w14:textId="1811E2A8"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D9DF" w14:textId="35059B38" w:rsidR="00B33136" w:rsidRDefault="00B33136">
    <w:pPr>
      <w:pStyle w:val="Header"/>
    </w:pPr>
    <w:r>
      <w:rPr>
        <w:noProof/>
      </w:rPr>
      <mc:AlternateContent>
        <mc:Choice Requires="wps">
          <w:drawing>
            <wp:anchor distT="0" distB="0" distL="0" distR="0" simplePos="0" relativeHeight="251658242" behindDoc="0" locked="0" layoutInCell="1" allowOverlap="1" wp14:anchorId="3320962D" wp14:editId="0B46D90F">
              <wp:simplePos x="635" y="635"/>
              <wp:positionH relativeFrom="page">
                <wp:align>center</wp:align>
              </wp:positionH>
              <wp:positionV relativeFrom="page">
                <wp:align>top</wp:align>
              </wp:positionV>
              <wp:extent cx="443865" cy="443865"/>
              <wp:effectExtent l="0" t="0" r="7620" b="18415"/>
              <wp:wrapNone/>
              <wp:docPr id="249015909"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F4DD9" w14:textId="377A6F59"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0962D" id="_x0000_t202" coordsize="21600,21600" o:spt="202" path="m,l,21600r21600,l21600,xe">
              <v:stroke joinstyle="miter"/>
              <v:path gradientshapeok="t" o:connecttype="rect"/>
            </v:shapetype>
            <v:shape id="Text Box 3" o:spid="_x0000_s1027" type="#_x0000_t202" alt="Classification: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19F4DD9" w14:textId="377A6F59"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CEBD" w14:textId="475D2387" w:rsidR="00B33136" w:rsidRDefault="00B33136">
    <w:pPr>
      <w:pStyle w:val="Header"/>
    </w:pPr>
    <w:r>
      <w:rPr>
        <w:noProof/>
      </w:rPr>
      <mc:AlternateContent>
        <mc:Choice Requires="wps">
          <w:drawing>
            <wp:anchor distT="0" distB="0" distL="0" distR="0" simplePos="0" relativeHeight="251658240" behindDoc="0" locked="0" layoutInCell="1" allowOverlap="1" wp14:anchorId="5B28DF70" wp14:editId="50EB3232">
              <wp:simplePos x="635" y="635"/>
              <wp:positionH relativeFrom="page">
                <wp:align>center</wp:align>
              </wp:positionH>
              <wp:positionV relativeFrom="page">
                <wp:align>top</wp:align>
              </wp:positionV>
              <wp:extent cx="443865" cy="443865"/>
              <wp:effectExtent l="0" t="0" r="7620" b="18415"/>
              <wp:wrapNone/>
              <wp:docPr id="821247856"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58BEF" w14:textId="55E64396"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8DF70" id="_x0000_t202" coordsize="21600,21600" o:spt="202" path="m,l,21600r21600,l21600,xe">
              <v:stroke joinstyle="miter"/>
              <v:path gradientshapeok="t" o:connecttype="rect"/>
            </v:shapetype>
            <v:shape id="Text Box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558BEF" w14:textId="55E64396" w:rsidR="00B33136" w:rsidRPr="00B33136" w:rsidRDefault="00B33136" w:rsidP="00B33136">
                    <w:pPr>
                      <w:spacing w:after="0"/>
                      <w:rPr>
                        <w:rFonts w:ascii="Calibri" w:eastAsia="Calibri" w:hAnsi="Calibri" w:cs="Calibri"/>
                        <w:noProof/>
                        <w:color w:val="000000"/>
                        <w:sz w:val="16"/>
                        <w:szCs w:val="16"/>
                      </w:rPr>
                    </w:pPr>
                    <w:r w:rsidRPr="00B33136">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EF3"/>
    <w:multiLevelType w:val="hybridMultilevel"/>
    <w:tmpl w:val="3D122EEE"/>
    <w:lvl w:ilvl="0" w:tplc="E4401CC4">
      <w:start w:val="1"/>
      <w:numFmt w:val="bullet"/>
      <w:lvlText w:val=""/>
      <w:lvlJc w:val="left"/>
      <w:pPr>
        <w:ind w:left="720" w:hanging="360"/>
      </w:pPr>
      <w:rPr>
        <w:rFonts w:ascii="Symbol" w:hAnsi="Symbol" w:hint="default"/>
        <w:b/>
        <w:bC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4931CD"/>
    <w:multiLevelType w:val="hybridMultilevel"/>
    <w:tmpl w:val="7B4809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6F08EA"/>
    <w:multiLevelType w:val="hybridMultilevel"/>
    <w:tmpl w:val="BFB03CF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9F4A3D"/>
    <w:multiLevelType w:val="hybridMultilevel"/>
    <w:tmpl w:val="FFFFFFFF"/>
    <w:lvl w:ilvl="0" w:tplc="5EEC1744">
      <w:start w:val="2"/>
      <w:numFmt w:val="decimal"/>
      <w:lvlText w:val="%1)"/>
      <w:lvlJc w:val="left"/>
      <w:pPr>
        <w:ind w:left="720" w:hanging="360"/>
      </w:pPr>
    </w:lvl>
    <w:lvl w:ilvl="1" w:tplc="D1A2A988">
      <w:start w:val="1"/>
      <w:numFmt w:val="lowerLetter"/>
      <w:lvlText w:val="%2."/>
      <w:lvlJc w:val="left"/>
      <w:pPr>
        <w:ind w:left="1440" w:hanging="360"/>
      </w:pPr>
    </w:lvl>
    <w:lvl w:ilvl="2" w:tplc="318652E0">
      <w:start w:val="1"/>
      <w:numFmt w:val="lowerRoman"/>
      <w:lvlText w:val="%3."/>
      <w:lvlJc w:val="right"/>
      <w:pPr>
        <w:ind w:left="2160" w:hanging="180"/>
      </w:pPr>
    </w:lvl>
    <w:lvl w:ilvl="3" w:tplc="CF2C515C">
      <w:start w:val="1"/>
      <w:numFmt w:val="decimal"/>
      <w:lvlText w:val="%4."/>
      <w:lvlJc w:val="left"/>
      <w:pPr>
        <w:ind w:left="2880" w:hanging="360"/>
      </w:pPr>
    </w:lvl>
    <w:lvl w:ilvl="4" w:tplc="92A678E0">
      <w:start w:val="1"/>
      <w:numFmt w:val="lowerLetter"/>
      <w:lvlText w:val="%5."/>
      <w:lvlJc w:val="left"/>
      <w:pPr>
        <w:ind w:left="3600" w:hanging="360"/>
      </w:pPr>
    </w:lvl>
    <w:lvl w:ilvl="5" w:tplc="CA2686AE">
      <w:start w:val="1"/>
      <w:numFmt w:val="lowerRoman"/>
      <w:lvlText w:val="%6."/>
      <w:lvlJc w:val="right"/>
      <w:pPr>
        <w:ind w:left="4320" w:hanging="180"/>
      </w:pPr>
    </w:lvl>
    <w:lvl w:ilvl="6" w:tplc="3ADEDF42">
      <w:start w:val="1"/>
      <w:numFmt w:val="decimal"/>
      <w:lvlText w:val="%7."/>
      <w:lvlJc w:val="left"/>
      <w:pPr>
        <w:ind w:left="5040" w:hanging="360"/>
      </w:pPr>
    </w:lvl>
    <w:lvl w:ilvl="7" w:tplc="79285434">
      <w:start w:val="1"/>
      <w:numFmt w:val="lowerLetter"/>
      <w:lvlText w:val="%8."/>
      <w:lvlJc w:val="left"/>
      <w:pPr>
        <w:ind w:left="5760" w:hanging="360"/>
      </w:pPr>
    </w:lvl>
    <w:lvl w:ilvl="8" w:tplc="CDD2761A">
      <w:start w:val="1"/>
      <w:numFmt w:val="lowerRoman"/>
      <w:lvlText w:val="%9."/>
      <w:lvlJc w:val="right"/>
      <w:pPr>
        <w:ind w:left="6480" w:hanging="180"/>
      </w:pPr>
    </w:lvl>
  </w:abstractNum>
  <w:abstractNum w:abstractNumId="4" w15:restartNumberingAfterBreak="0">
    <w:nsid w:val="22B8175C"/>
    <w:multiLevelType w:val="hybridMultilevel"/>
    <w:tmpl w:val="AEE056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989BC7C"/>
    <w:multiLevelType w:val="hybridMultilevel"/>
    <w:tmpl w:val="FFFFFFFF"/>
    <w:lvl w:ilvl="0" w:tplc="9F90E3BA">
      <w:start w:val="3"/>
      <w:numFmt w:val="decimal"/>
      <w:lvlText w:val="%1)"/>
      <w:lvlJc w:val="left"/>
      <w:pPr>
        <w:ind w:left="720" w:hanging="360"/>
      </w:pPr>
    </w:lvl>
    <w:lvl w:ilvl="1" w:tplc="1410FE48">
      <w:start w:val="1"/>
      <w:numFmt w:val="lowerLetter"/>
      <w:lvlText w:val="%2."/>
      <w:lvlJc w:val="left"/>
      <w:pPr>
        <w:ind w:left="1440" w:hanging="360"/>
      </w:pPr>
    </w:lvl>
    <w:lvl w:ilvl="2" w:tplc="A0DEDE50">
      <w:start w:val="1"/>
      <w:numFmt w:val="lowerRoman"/>
      <w:lvlText w:val="%3."/>
      <w:lvlJc w:val="right"/>
      <w:pPr>
        <w:ind w:left="2160" w:hanging="180"/>
      </w:pPr>
    </w:lvl>
    <w:lvl w:ilvl="3" w:tplc="1C3C9554">
      <w:start w:val="1"/>
      <w:numFmt w:val="decimal"/>
      <w:lvlText w:val="%4."/>
      <w:lvlJc w:val="left"/>
      <w:pPr>
        <w:ind w:left="2880" w:hanging="360"/>
      </w:pPr>
    </w:lvl>
    <w:lvl w:ilvl="4" w:tplc="5676568C">
      <w:start w:val="1"/>
      <w:numFmt w:val="lowerLetter"/>
      <w:lvlText w:val="%5."/>
      <w:lvlJc w:val="left"/>
      <w:pPr>
        <w:ind w:left="3600" w:hanging="360"/>
      </w:pPr>
    </w:lvl>
    <w:lvl w:ilvl="5" w:tplc="A6386316">
      <w:start w:val="1"/>
      <w:numFmt w:val="lowerRoman"/>
      <w:lvlText w:val="%6."/>
      <w:lvlJc w:val="right"/>
      <w:pPr>
        <w:ind w:left="4320" w:hanging="180"/>
      </w:pPr>
    </w:lvl>
    <w:lvl w:ilvl="6" w:tplc="B3B4B2C2">
      <w:start w:val="1"/>
      <w:numFmt w:val="decimal"/>
      <w:lvlText w:val="%7."/>
      <w:lvlJc w:val="left"/>
      <w:pPr>
        <w:ind w:left="5040" w:hanging="360"/>
      </w:pPr>
    </w:lvl>
    <w:lvl w:ilvl="7" w:tplc="4140B046">
      <w:start w:val="1"/>
      <w:numFmt w:val="lowerLetter"/>
      <w:lvlText w:val="%8."/>
      <w:lvlJc w:val="left"/>
      <w:pPr>
        <w:ind w:left="5760" w:hanging="360"/>
      </w:pPr>
    </w:lvl>
    <w:lvl w:ilvl="8" w:tplc="2180913E">
      <w:start w:val="1"/>
      <w:numFmt w:val="lowerRoman"/>
      <w:lvlText w:val="%9."/>
      <w:lvlJc w:val="right"/>
      <w:pPr>
        <w:ind w:left="6480" w:hanging="180"/>
      </w:pPr>
    </w:lvl>
  </w:abstractNum>
  <w:abstractNum w:abstractNumId="6" w15:restartNumberingAfterBreak="0">
    <w:nsid w:val="2D166867"/>
    <w:multiLevelType w:val="hybridMultilevel"/>
    <w:tmpl w:val="0CAEE25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023D810"/>
    <w:multiLevelType w:val="hybridMultilevel"/>
    <w:tmpl w:val="FFFFFFFF"/>
    <w:lvl w:ilvl="0" w:tplc="10644324">
      <w:start w:val="1"/>
      <w:numFmt w:val="decimal"/>
      <w:lvlText w:val="%1)"/>
      <w:lvlJc w:val="left"/>
      <w:pPr>
        <w:ind w:left="720" w:hanging="360"/>
      </w:pPr>
    </w:lvl>
    <w:lvl w:ilvl="1" w:tplc="3124B6FC">
      <w:start w:val="1"/>
      <w:numFmt w:val="lowerLetter"/>
      <w:lvlText w:val="%2."/>
      <w:lvlJc w:val="left"/>
      <w:pPr>
        <w:ind w:left="1440" w:hanging="360"/>
      </w:pPr>
    </w:lvl>
    <w:lvl w:ilvl="2" w:tplc="5E22BA74">
      <w:start w:val="1"/>
      <w:numFmt w:val="lowerRoman"/>
      <w:lvlText w:val="%3."/>
      <w:lvlJc w:val="right"/>
      <w:pPr>
        <w:ind w:left="2160" w:hanging="180"/>
      </w:pPr>
    </w:lvl>
    <w:lvl w:ilvl="3" w:tplc="62805910">
      <w:start w:val="1"/>
      <w:numFmt w:val="decimal"/>
      <w:lvlText w:val="%4."/>
      <w:lvlJc w:val="left"/>
      <w:pPr>
        <w:ind w:left="2880" w:hanging="360"/>
      </w:pPr>
    </w:lvl>
    <w:lvl w:ilvl="4" w:tplc="4246F8EC">
      <w:start w:val="1"/>
      <w:numFmt w:val="lowerLetter"/>
      <w:lvlText w:val="%5."/>
      <w:lvlJc w:val="left"/>
      <w:pPr>
        <w:ind w:left="3600" w:hanging="360"/>
      </w:pPr>
    </w:lvl>
    <w:lvl w:ilvl="5" w:tplc="20F48362">
      <w:start w:val="1"/>
      <w:numFmt w:val="lowerRoman"/>
      <w:lvlText w:val="%6."/>
      <w:lvlJc w:val="right"/>
      <w:pPr>
        <w:ind w:left="4320" w:hanging="180"/>
      </w:pPr>
    </w:lvl>
    <w:lvl w:ilvl="6" w:tplc="EBC22388">
      <w:start w:val="1"/>
      <w:numFmt w:val="decimal"/>
      <w:lvlText w:val="%7."/>
      <w:lvlJc w:val="left"/>
      <w:pPr>
        <w:ind w:left="5040" w:hanging="360"/>
      </w:pPr>
    </w:lvl>
    <w:lvl w:ilvl="7" w:tplc="6F300634">
      <w:start w:val="1"/>
      <w:numFmt w:val="lowerLetter"/>
      <w:lvlText w:val="%8."/>
      <w:lvlJc w:val="left"/>
      <w:pPr>
        <w:ind w:left="5760" w:hanging="360"/>
      </w:pPr>
    </w:lvl>
    <w:lvl w:ilvl="8" w:tplc="47B8C71A">
      <w:start w:val="1"/>
      <w:numFmt w:val="lowerRoman"/>
      <w:lvlText w:val="%9."/>
      <w:lvlJc w:val="right"/>
      <w:pPr>
        <w:ind w:left="6480" w:hanging="180"/>
      </w:pPr>
    </w:lvl>
  </w:abstractNum>
  <w:abstractNum w:abstractNumId="8" w15:restartNumberingAfterBreak="0">
    <w:nsid w:val="31E715C3"/>
    <w:multiLevelType w:val="hybridMultilevel"/>
    <w:tmpl w:val="98ACAE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85D18F5"/>
    <w:multiLevelType w:val="hybridMultilevel"/>
    <w:tmpl w:val="B36E2A8E"/>
    <w:lvl w:ilvl="0" w:tplc="F0EACB38">
      <w:start w:val="1"/>
      <w:numFmt w:val="decimal"/>
      <w:lvlText w:val="%1)"/>
      <w:lvlJc w:val="left"/>
      <w:pPr>
        <w:ind w:left="36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9FE039D"/>
    <w:multiLevelType w:val="hybridMultilevel"/>
    <w:tmpl w:val="FFE000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BCE17F3"/>
    <w:multiLevelType w:val="hybridMultilevel"/>
    <w:tmpl w:val="ED26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D2DE1"/>
    <w:multiLevelType w:val="multilevel"/>
    <w:tmpl w:val="0D1AF0EE"/>
    <w:lvl w:ilvl="0">
      <w:start w:val="1"/>
      <w:numFmt w:val="decimal"/>
      <w:lvlText w:val="%1."/>
      <w:lvlJc w:val="left"/>
      <w:pPr>
        <w:ind w:left="72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0BA4150"/>
    <w:multiLevelType w:val="hybridMultilevel"/>
    <w:tmpl w:val="A1CEDAFA"/>
    <w:lvl w:ilvl="0" w:tplc="E4401CC4">
      <w:start w:val="1"/>
      <w:numFmt w:val="bullet"/>
      <w:lvlText w:val=""/>
      <w:lvlJc w:val="left"/>
      <w:pPr>
        <w:ind w:left="720" w:hanging="360"/>
      </w:pPr>
      <w:rPr>
        <w:rFonts w:ascii="Symbol" w:hAnsi="Symbol" w:hint="default"/>
        <w:b/>
        <w:bC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5151FD"/>
    <w:multiLevelType w:val="hybridMultilevel"/>
    <w:tmpl w:val="8354CE2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FA22DE"/>
    <w:multiLevelType w:val="hybridMultilevel"/>
    <w:tmpl w:val="C1C40E40"/>
    <w:lvl w:ilvl="0" w:tplc="C93A6D84">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7DC29C9"/>
    <w:multiLevelType w:val="hybridMultilevel"/>
    <w:tmpl w:val="D3DC2E04"/>
    <w:lvl w:ilvl="0" w:tplc="70001834">
      <w:numFmt w:val="bullet"/>
      <w:lvlText w:val="•"/>
      <w:lvlJc w:val="left"/>
      <w:pPr>
        <w:ind w:left="720" w:hanging="360"/>
      </w:pPr>
      <w:rPr>
        <w:rFonts w:hint="default"/>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3B0D3A"/>
    <w:multiLevelType w:val="hybridMultilevel"/>
    <w:tmpl w:val="D572FD88"/>
    <w:lvl w:ilvl="0" w:tplc="849CC0E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A196086"/>
    <w:multiLevelType w:val="hybridMultilevel"/>
    <w:tmpl w:val="6B04040A"/>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num w:numId="1" w16cid:durableId="55668989">
    <w:abstractNumId w:val="5"/>
  </w:num>
  <w:num w:numId="2" w16cid:durableId="532155678">
    <w:abstractNumId w:val="3"/>
  </w:num>
  <w:num w:numId="3" w16cid:durableId="2102799094">
    <w:abstractNumId w:val="7"/>
  </w:num>
  <w:num w:numId="4" w16cid:durableId="1148328167">
    <w:abstractNumId w:val="8"/>
  </w:num>
  <w:num w:numId="5" w16cid:durableId="1103722122">
    <w:abstractNumId w:val="12"/>
  </w:num>
  <w:num w:numId="6" w16cid:durableId="995954900">
    <w:abstractNumId w:val="9"/>
  </w:num>
  <w:num w:numId="7" w16cid:durableId="2052149495">
    <w:abstractNumId w:val="4"/>
  </w:num>
  <w:num w:numId="8" w16cid:durableId="1589542042">
    <w:abstractNumId w:val="14"/>
  </w:num>
  <w:num w:numId="9" w16cid:durableId="1950811787">
    <w:abstractNumId w:val="2"/>
  </w:num>
  <w:num w:numId="10" w16cid:durableId="1734809619">
    <w:abstractNumId w:val="0"/>
  </w:num>
  <w:num w:numId="11" w16cid:durableId="2049915557">
    <w:abstractNumId w:val="13"/>
  </w:num>
  <w:num w:numId="12" w16cid:durableId="46615901">
    <w:abstractNumId w:val="10"/>
  </w:num>
  <w:num w:numId="13" w16cid:durableId="1241796337">
    <w:abstractNumId w:val="6"/>
  </w:num>
  <w:num w:numId="14" w16cid:durableId="613053628">
    <w:abstractNumId w:val="16"/>
  </w:num>
  <w:num w:numId="15" w16cid:durableId="696125196">
    <w:abstractNumId w:val="17"/>
  </w:num>
  <w:num w:numId="16" w16cid:durableId="115148628">
    <w:abstractNumId w:val="18"/>
  </w:num>
  <w:num w:numId="17" w16cid:durableId="1224214115">
    <w:abstractNumId w:val="11"/>
  </w:num>
  <w:num w:numId="18" w16cid:durableId="235821263">
    <w:abstractNumId w:val="15"/>
  </w:num>
  <w:num w:numId="19" w16cid:durableId="201098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E7"/>
    <w:rsid w:val="000005E5"/>
    <w:rsid w:val="000009F8"/>
    <w:rsid w:val="000029F4"/>
    <w:rsid w:val="00003A5D"/>
    <w:rsid w:val="00006A46"/>
    <w:rsid w:val="000079AB"/>
    <w:rsid w:val="00011916"/>
    <w:rsid w:val="00015A89"/>
    <w:rsid w:val="00015B12"/>
    <w:rsid w:val="00015F1B"/>
    <w:rsid w:val="000163FB"/>
    <w:rsid w:val="0001762B"/>
    <w:rsid w:val="00017E33"/>
    <w:rsid w:val="00021E7E"/>
    <w:rsid w:val="000223A3"/>
    <w:rsid w:val="00022D13"/>
    <w:rsid w:val="00024538"/>
    <w:rsid w:val="00027D8F"/>
    <w:rsid w:val="000310D8"/>
    <w:rsid w:val="00031C71"/>
    <w:rsid w:val="00032B4C"/>
    <w:rsid w:val="00032C7A"/>
    <w:rsid w:val="00036BE4"/>
    <w:rsid w:val="0004440D"/>
    <w:rsid w:val="00044858"/>
    <w:rsid w:val="000449BD"/>
    <w:rsid w:val="0004573E"/>
    <w:rsid w:val="00045A8A"/>
    <w:rsid w:val="00047401"/>
    <w:rsid w:val="000475C8"/>
    <w:rsid w:val="000501C7"/>
    <w:rsid w:val="00051C77"/>
    <w:rsid w:val="000541D2"/>
    <w:rsid w:val="00054EF6"/>
    <w:rsid w:val="0005626B"/>
    <w:rsid w:val="00056461"/>
    <w:rsid w:val="000638F2"/>
    <w:rsid w:val="00064F69"/>
    <w:rsid w:val="000662FB"/>
    <w:rsid w:val="00066C00"/>
    <w:rsid w:val="0007075D"/>
    <w:rsid w:val="00071154"/>
    <w:rsid w:val="00071DD3"/>
    <w:rsid w:val="000740F1"/>
    <w:rsid w:val="00080A56"/>
    <w:rsid w:val="000865D6"/>
    <w:rsid w:val="00092C5A"/>
    <w:rsid w:val="00092CA8"/>
    <w:rsid w:val="00093E72"/>
    <w:rsid w:val="0009524E"/>
    <w:rsid w:val="000958D3"/>
    <w:rsid w:val="000A0A6D"/>
    <w:rsid w:val="000A0ACD"/>
    <w:rsid w:val="000A1EE8"/>
    <w:rsid w:val="000A45F6"/>
    <w:rsid w:val="000A4F6A"/>
    <w:rsid w:val="000A51D2"/>
    <w:rsid w:val="000A6215"/>
    <w:rsid w:val="000B094D"/>
    <w:rsid w:val="000C10E9"/>
    <w:rsid w:val="000C18E5"/>
    <w:rsid w:val="000C3D2B"/>
    <w:rsid w:val="000C4EB3"/>
    <w:rsid w:val="000C7BAD"/>
    <w:rsid w:val="000D4D25"/>
    <w:rsid w:val="000D5B20"/>
    <w:rsid w:val="000D7424"/>
    <w:rsid w:val="000D79FA"/>
    <w:rsid w:val="000D7BB1"/>
    <w:rsid w:val="000E3083"/>
    <w:rsid w:val="000E3E0A"/>
    <w:rsid w:val="000E4312"/>
    <w:rsid w:val="000E43D4"/>
    <w:rsid w:val="000F0101"/>
    <w:rsid w:val="000F1776"/>
    <w:rsid w:val="000F45D4"/>
    <w:rsid w:val="000F4830"/>
    <w:rsid w:val="000F62E6"/>
    <w:rsid w:val="00100A85"/>
    <w:rsid w:val="001025D7"/>
    <w:rsid w:val="001037B9"/>
    <w:rsid w:val="0010755B"/>
    <w:rsid w:val="001115E2"/>
    <w:rsid w:val="00112E87"/>
    <w:rsid w:val="00112F8C"/>
    <w:rsid w:val="00114279"/>
    <w:rsid w:val="001251BC"/>
    <w:rsid w:val="001256F0"/>
    <w:rsid w:val="001261D3"/>
    <w:rsid w:val="00126977"/>
    <w:rsid w:val="00131EF2"/>
    <w:rsid w:val="001358F7"/>
    <w:rsid w:val="00137D47"/>
    <w:rsid w:val="00143AC3"/>
    <w:rsid w:val="001470B0"/>
    <w:rsid w:val="001470F1"/>
    <w:rsid w:val="00147436"/>
    <w:rsid w:val="00147B46"/>
    <w:rsid w:val="00150589"/>
    <w:rsid w:val="001519D9"/>
    <w:rsid w:val="00154991"/>
    <w:rsid w:val="001570CD"/>
    <w:rsid w:val="001606DC"/>
    <w:rsid w:val="00162BFA"/>
    <w:rsid w:val="0016715F"/>
    <w:rsid w:val="001702BA"/>
    <w:rsid w:val="00171EBC"/>
    <w:rsid w:val="001731D4"/>
    <w:rsid w:val="00173437"/>
    <w:rsid w:val="0017384F"/>
    <w:rsid w:val="00174AAF"/>
    <w:rsid w:val="00174EC9"/>
    <w:rsid w:val="00175863"/>
    <w:rsid w:val="00177082"/>
    <w:rsid w:val="00180C0D"/>
    <w:rsid w:val="00182476"/>
    <w:rsid w:val="00186115"/>
    <w:rsid w:val="00187704"/>
    <w:rsid w:val="00187B83"/>
    <w:rsid w:val="00187C15"/>
    <w:rsid w:val="00187EE1"/>
    <w:rsid w:val="0019033C"/>
    <w:rsid w:val="001934F1"/>
    <w:rsid w:val="0019426D"/>
    <w:rsid w:val="001970E9"/>
    <w:rsid w:val="00197659"/>
    <w:rsid w:val="001A6779"/>
    <w:rsid w:val="001A7979"/>
    <w:rsid w:val="001A7A57"/>
    <w:rsid w:val="001B0BDB"/>
    <w:rsid w:val="001B7AB6"/>
    <w:rsid w:val="001C1EE6"/>
    <w:rsid w:val="001C243B"/>
    <w:rsid w:val="001C3007"/>
    <w:rsid w:val="001C4A5C"/>
    <w:rsid w:val="001C4E07"/>
    <w:rsid w:val="001D00DC"/>
    <w:rsid w:val="001D26DD"/>
    <w:rsid w:val="001D639B"/>
    <w:rsid w:val="001E13A0"/>
    <w:rsid w:val="001E1E2B"/>
    <w:rsid w:val="001E4E81"/>
    <w:rsid w:val="001E4EC4"/>
    <w:rsid w:val="001F25EC"/>
    <w:rsid w:val="001F36DD"/>
    <w:rsid w:val="001F58C5"/>
    <w:rsid w:val="001F63A1"/>
    <w:rsid w:val="001F6B94"/>
    <w:rsid w:val="001F70F5"/>
    <w:rsid w:val="001F7776"/>
    <w:rsid w:val="001F7AF7"/>
    <w:rsid w:val="002026FB"/>
    <w:rsid w:val="00206B61"/>
    <w:rsid w:val="00207E55"/>
    <w:rsid w:val="00210411"/>
    <w:rsid w:val="00212797"/>
    <w:rsid w:val="00212B6C"/>
    <w:rsid w:val="00213F78"/>
    <w:rsid w:val="0021496C"/>
    <w:rsid w:val="002149AE"/>
    <w:rsid w:val="002153F9"/>
    <w:rsid w:val="0021584E"/>
    <w:rsid w:val="0021798B"/>
    <w:rsid w:val="00220862"/>
    <w:rsid w:val="00221B16"/>
    <w:rsid w:val="002232F6"/>
    <w:rsid w:val="00232905"/>
    <w:rsid w:val="00232C5A"/>
    <w:rsid w:val="0023492C"/>
    <w:rsid w:val="00240D40"/>
    <w:rsid w:val="0024297C"/>
    <w:rsid w:val="00243E2F"/>
    <w:rsid w:val="002442C8"/>
    <w:rsid w:val="00244E72"/>
    <w:rsid w:val="00247A46"/>
    <w:rsid w:val="0025371C"/>
    <w:rsid w:val="002542F9"/>
    <w:rsid w:val="002561D6"/>
    <w:rsid w:val="00256B9D"/>
    <w:rsid w:val="00260B41"/>
    <w:rsid w:val="00267849"/>
    <w:rsid w:val="00271AB4"/>
    <w:rsid w:val="00271C8C"/>
    <w:rsid w:val="002728CB"/>
    <w:rsid w:val="00272BA2"/>
    <w:rsid w:val="00274501"/>
    <w:rsid w:val="00274F28"/>
    <w:rsid w:val="00275B01"/>
    <w:rsid w:val="00276118"/>
    <w:rsid w:val="002762C9"/>
    <w:rsid w:val="0027779D"/>
    <w:rsid w:val="00277C90"/>
    <w:rsid w:val="002803E8"/>
    <w:rsid w:val="0028091F"/>
    <w:rsid w:val="00281BDA"/>
    <w:rsid w:val="00285139"/>
    <w:rsid w:val="002852D0"/>
    <w:rsid w:val="00286181"/>
    <w:rsid w:val="0029346E"/>
    <w:rsid w:val="00294059"/>
    <w:rsid w:val="00294F31"/>
    <w:rsid w:val="002A474F"/>
    <w:rsid w:val="002A55EA"/>
    <w:rsid w:val="002A5AA5"/>
    <w:rsid w:val="002A62BB"/>
    <w:rsid w:val="002A7B2F"/>
    <w:rsid w:val="002B0DC3"/>
    <w:rsid w:val="002B0F43"/>
    <w:rsid w:val="002B4B42"/>
    <w:rsid w:val="002B4F6B"/>
    <w:rsid w:val="002B5DBC"/>
    <w:rsid w:val="002C2B5A"/>
    <w:rsid w:val="002C3498"/>
    <w:rsid w:val="002C416D"/>
    <w:rsid w:val="002C4EA2"/>
    <w:rsid w:val="002C5145"/>
    <w:rsid w:val="002C57E7"/>
    <w:rsid w:val="002C6127"/>
    <w:rsid w:val="002C613A"/>
    <w:rsid w:val="002D014C"/>
    <w:rsid w:val="002D1886"/>
    <w:rsid w:val="002D2AE9"/>
    <w:rsid w:val="002D37E2"/>
    <w:rsid w:val="002D5C72"/>
    <w:rsid w:val="002D6E85"/>
    <w:rsid w:val="002D7DDB"/>
    <w:rsid w:val="002E3827"/>
    <w:rsid w:val="002E5262"/>
    <w:rsid w:val="002E6457"/>
    <w:rsid w:val="002E6D2A"/>
    <w:rsid w:val="002E789C"/>
    <w:rsid w:val="002F0802"/>
    <w:rsid w:val="002F23B7"/>
    <w:rsid w:val="002F4120"/>
    <w:rsid w:val="002F5223"/>
    <w:rsid w:val="002F5EA0"/>
    <w:rsid w:val="002F6F4A"/>
    <w:rsid w:val="002F7F57"/>
    <w:rsid w:val="00301D0F"/>
    <w:rsid w:val="003029EF"/>
    <w:rsid w:val="003040D8"/>
    <w:rsid w:val="003058E0"/>
    <w:rsid w:val="00307EF3"/>
    <w:rsid w:val="00311B6A"/>
    <w:rsid w:val="00312199"/>
    <w:rsid w:val="003172B6"/>
    <w:rsid w:val="00317CF7"/>
    <w:rsid w:val="00320D25"/>
    <w:rsid w:val="00321712"/>
    <w:rsid w:val="00321B13"/>
    <w:rsid w:val="00321E16"/>
    <w:rsid w:val="00322697"/>
    <w:rsid w:val="00324663"/>
    <w:rsid w:val="00326F29"/>
    <w:rsid w:val="003276DB"/>
    <w:rsid w:val="003278A9"/>
    <w:rsid w:val="00331ACB"/>
    <w:rsid w:val="003358D2"/>
    <w:rsid w:val="0034241E"/>
    <w:rsid w:val="00342575"/>
    <w:rsid w:val="00344177"/>
    <w:rsid w:val="00345121"/>
    <w:rsid w:val="003463A3"/>
    <w:rsid w:val="003472F0"/>
    <w:rsid w:val="00347B36"/>
    <w:rsid w:val="003518E3"/>
    <w:rsid w:val="00353795"/>
    <w:rsid w:val="00355800"/>
    <w:rsid w:val="003631A2"/>
    <w:rsid w:val="00363C54"/>
    <w:rsid w:val="00364DAF"/>
    <w:rsid w:val="00373676"/>
    <w:rsid w:val="00374BA1"/>
    <w:rsid w:val="003751E0"/>
    <w:rsid w:val="00376696"/>
    <w:rsid w:val="003768EC"/>
    <w:rsid w:val="00376CF1"/>
    <w:rsid w:val="00383833"/>
    <w:rsid w:val="0038451B"/>
    <w:rsid w:val="00384787"/>
    <w:rsid w:val="00384D96"/>
    <w:rsid w:val="00384FF5"/>
    <w:rsid w:val="003905E4"/>
    <w:rsid w:val="00390DE5"/>
    <w:rsid w:val="0039212F"/>
    <w:rsid w:val="003A0796"/>
    <w:rsid w:val="003A0DE8"/>
    <w:rsid w:val="003A3D89"/>
    <w:rsid w:val="003A5CCF"/>
    <w:rsid w:val="003B2018"/>
    <w:rsid w:val="003B3A0D"/>
    <w:rsid w:val="003B475F"/>
    <w:rsid w:val="003C4B4A"/>
    <w:rsid w:val="003D7553"/>
    <w:rsid w:val="003E1F22"/>
    <w:rsid w:val="003E4E30"/>
    <w:rsid w:val="003E7C04"/>
    <w:rsid w:val="003F2845"/>
    <w:rsid w:val="003F35A4"/>
    <w:rsid w:val="003F547F"/>
    <w:rsid w:val="003F6E05"/>
    <w:rsid w:val="00400965"/>
    <w:rsid w:val="00402A69"/>
    <w:rsid w:val="00403BBD"/>
    <w:rsid w:val="00404523"/>
    <w:rsid w:val="00406131"/>
    <w:rsid w:val="00406770"/>
    <w:rsid w:val="004102D2"/>
    <w:rsid w:val="00411E67"/>
    <w:rsid w:val="00414393"/>
    <w:rsid w:val="004158C9"/>
    <w:rsid w:val="00415C1A"/>
    <w:rsid w:val="00420826"/>
    <w:rsid w:val="00420C6C"/>
    <w:rsid w:val="00424C0D"/>
    <w:rsid w:val="00425AF1"/>
    <w:rsid w:val="00426982"/>
    <w:rsid w:val="00427082"/>
    <w:rsid w:val="00432381"/>
    <w:rsid w:val="00433F01"/>
    <w:rsid w:val="00434660"/>
    <w:rsid w:val="00435577"/>
    <w:rsid w:val="00435F79"/>
    <w:rsid w:val="00436F7F"/>
    <w:rsid w:val="00442E79"/>
    <w:rsid w:val="00443996"/>
    <w:rsid w:val="00451493"/>
    <w:rsid w:val="00452E46"/>
    <w:rsid w:val="00454DFC"/>
    <w:rsid w:val="00461F57"/>
    <w:rsid w:val="00463B59"/>
    <w:rsid w:val="0046641B"/>
    <w:rsid w:val="00466445"/>
    <w:rsid w:val="00467F36"/>
    <w:rsid w:val="004704DF"/>
    <w:rsid w:val="00473767"/>
    <w:rsid w:val="00473BC4"/>
    <w:rsid w:val="004742B2"/>
    <w:rsid w:val="00475090"/>
    <w:rsid w:val="00475CAA"/>
    <w:rsid w:val="004761A2"/>
    <w:rsid w:val="00477CFC"/>
    <w:rsid w:val="0048181E"/>
    <w:rsid w:val="00482353"/>
    <w:rsid w:val="00487256"/>
    <w:rsid w:val="00492980"/>
    <w:rsid w:val="004958C3"/>
    <w:rsid w:val="004964ED"/>
    <w:rsid w:val="00496D50"/>
    <w:rsid w:val="004A0CF8"/>
    <w:rsid w:val="004A1369"/>
    <w:rsid w:val="004A1724"/>
    <w:rsid w:val="004A36AE"/>
    <w:rsid w:val="004A3897"/>
    <w:rsid w:val="004A3BCA"/>
    <w:rsid w:val="004A4AF1"/>
    <w:rsid w:val="004A57B3"/>
    <w:rsid w:val="004A74E6"/>
    <w:rsid w:val="004A75BC"/>
    <w:rsid w:val="004B19D9"/>
    <w:rsid w:val="004B61CE"/>
    <w:rsid w:val="004B7F20"/>
    <w:rsid w:val="004BDDB4"/>
    <w:rsid w:val="004C53AF"/>
    <w:rsid w:val="004D14CC"/>
    <w:rsid w:val="004D4AC8"/>
    <w:rsid w:val="004D4F17"/>
    <w:rsid w:val="004D4F58"/>
    <w:rsid w:val="004D5886"/>
    <w:rsid w:val="004D65CA"/>
    <w:rsid w:val="004E0EDE"/>
    <w:rsid w:val="004E254A"/>
    <w:rsid w:val="004E400D"/>
    <w:rsid w:val="004E465D"/>
    <w:rsid w:val="004E4A75"/>
    <w:rsid w:val="004E60E6"/>
    <w:rsid w:val="004E6AB4"/>
    <w:rsid w:val="004E763A"/>
    <w:rsid w:val="004F0402"/>
    <w:rsid w:val="004F05E0"/>
    <w:rsid w:val="004F234D"/>
    <w:rsid w:val="004F2979"/>
    <w:rsid w:val="004F3B26"/>
    <w:rsid w:val="004F4176"/>
    <w:rsid w:val="004F4E71"/>
    <w:rsid w:val="004F5340"/>
    <w:rsid w:val="004F5728"/>
    <w:rsid w:val="004F6081"/>
    <w:rsid w:val="004F7279"/>
    <w:rsid w:val="004F7893"/>
    <w:rsid w:val="005004B9"/>
    <w:rsid w:val="00501284"/>
    <w:rsid w:val="0050236B"/>
    <w:rsid w:val="00504813"/>
    <w:rsid w:val="00506F13"/>
    <w:rsid w:val="005078B5"/>
    <w:rsid w:val="00511E8F"/>
    <w:rsid w:val="00513BD4"/>
    <w:rsid w:val="00517FF0"/>
    <w:rsid w:val="005219AC"/>
    <w:rsid w:val="00525FE6"/>
    <w:rsid w:val="00527DA8"/>
    <w:rsid w:val="00530335"/>
    <w:rsid w:val="005324FD"/>
    <w:rsid w:val="005331EA"/>
    <w:rsid w:val="005344EA"/>
    <w:rsid w:val="0053518D"/>
    <w:rsid w:val="00535A1D"/>
    <w:rsid w:val="00544086"/>
    <w:rsid w:val="00544834"/>
    <w:rsid w:val="00544941"/>
    <w:rsid w:val="00546CF7"/>
    <w:rsid w:val="00546D2B"/>
    <w:rsid w:val="005556C4"/>
    <w:rsid w:val="005558DB"/>
    <w:rsid w:val="00560C32"/>
    <w:rsid w:val="005611D1"/>
    <w:rsid w:val="0056165A"/>
    <w:rsid w:val="00564178"/>
    <w:rsid w:val="00565444"/>
    <w:rsid w:val="00565648"/>
    <w:rsid w:val="00565C14"/>
    <w:rsid w:val="00570120"/>
    <w:rsid w:val="00570600"/>
    <w:rsid w:val="00571720"/>
    <w:rsid w:val="00571D5C"/>
    <w:rsid w:val="0057213E"/>
    <w:rsid w:val="00573547"/>
    <w:rsid w:val="0057372D"/>
    <w:rsid w:val="0057415C"/>
    <w:rsid w:val="0057492F"/>
    <w:rsid w:val="00574B67"/>
    <w:rsid w:val="005771FE"/>
    <w:rsid w:val="00577324"/>
    <w:rsid w:val="00580768"/>
    <w:rsid w:val="00580CF6"/>
    <w:rsid w:val="00581A2A"/>
    <w:rsid w:val="005834F3"/>
    <w:rsid w:val="005848A0"/>
    <w:rsid w:val="005860C9"/>
    <w:rsid w:val="00590511"/>
    <w:rsid w:val="00592664"/>
    <w:rsid w:val="00594B12"/>
    <w:rsid w:val="00595815"/>
    <w:rsid w:val="00596FF2"/>
    <w:rsid w:val="0059798F"/>
    <w:rsid w:val="005A5F0D"/>
    <w:rsid w:val="005A698E"/>
    <w:rsid w:val="005A717C"/>
    <w:rsid w:val="005B067D"/>
    <w:rsid w:val="005B0E2C"/>
    <w:rsid w:val="005B3121"/>
    <w:rsid w:val="005B45B6"/>
    <w:rsid w:val="005B64B9"/>
    <w:rsid w:val="005B6EA1"/>
    <w:rsid w:val="005C0315"/>
    <w:rsid w:val="005C0C52"/>
    <w:rsid w:val="005C0E26"/>
    <w:rsid w:val="005C1EE1"/>
    <w:rsid w:val="005C4F16"/>
    <w:rsid w:val="005C6A02"/>
    <w:rsid w:val="005C6C84"/>
    <w:rsid w:val="005D1EB4"/>
    <w:rsid w:val="005D2C6B"/>
    <w:rsid w:val="005D37D0"/>
    <w:rsid w:val="005D7995"/>
    <w:rsid w:val="005E5881"/>
    <w:rsid w:val="005E7065"/>
    <w:rsid w:val="005E7510"/>
    <w:rsid w:val="005F1CA9"/>
    <w:rsid w:val="005F2931"/>
    <w:rsid w:val="005F3C47"/>
    <w:rsid w:val="005F3D48"/>
    <w:rsid w:val="005F4146"/>
    <w:rsid w:val="005F6190"/>
    <w:rsid w:val="0060051E"/>
    <w:rsid w:val="0060286E"/>
    <w:rsid w:val="00605739"/>
    <w:rsid w:val="0060681A"/>
    <w:rsid w:val="00610D69"/>
    <w:rsid w:val="00612307"/>
    <w:rsid w:val="0061479B"/>
    <w:rsid w:val="00614AC8"/>
    <w:rsid w:val="006156C1"/>
    <w:rsid w:val="00617461"/>
    <w:rsid w:val="0062016F"/>
    <w:rsid w:val="0062020A"/>
    <w:rsid w:val="00620BD4"/>
    <w:rsid w:val="00620C91"/>
    <w:rsid w:val="00621627"/>
    <w:rsid w:val="00621EDF"/>
    <w:rsid w:val="0062384B"/>
    <w:rsid w:val="00625298"/>
    <w:rsid w:val="006277E4"/>
    <w:rsid w:val="00633C8F"/>
    <w:rsid w:val="0063412D"/>
    <w:rsid w:val="00634F10"/>
    <w:rsid w:val="006415E3"/>
    <w:rsid w:val="00641962"/>
    <w:rsid w:val="00642631"/>
    <w:rsid w:val="00642B98"/>
    <w:rsid w:val="00645E29"/>
    <w:rsid w:val="006502ED"/>
    <w:rsid w:val="0065165E"/>
    <w:rsid w:val="00651ABD"/>
    <w:rsid w:val="00653526"/>
    <w:rsid w:val="00654242"/>
    <w:rsid w:val="00655E85"/>
    <w:rsid w:val="0065694E"/>
    <w:rsid w:val="00656C00"/>
    <w:rsid w:val="00657763"/>
    <w:rsid w:val="006577C2"/>
    <w:rsid w:val="006628AC"/>
    <w:rsid w:val="00663F61"/>
    <w:rsid w:val="00665262"/>
    <w:rsid w:val="00666745"/>
    <w:rsid w:val="006705CC"/>
    <w:rsid w:val="00673D88"/>
    <w:rsid w:val="00674187"/>
    <w:rsid w:val="00676DD8"/>
    <w:rsid w:val="006812CD"/>
    <w:rsid w:val="00683148"/>
    <w:rsid w:val="006923D1"/>
    <w:rsid w:val="00696B63"/>
    <w:rsid w:val="0069764D"/>
    <w:rsid w:val="006A0D35"/>
    <w:rsid w:val="006A3EF1"/>
    <w:rsid w:val="006A4617"/>
    <w:rsid w:val="006A7985"/>
    <w:rsid w:val="006B13AD"/>
    <w:rsid w:val="006B3F8F"/>
    <w:rsid w:val="006B4E96"/>
    <w:rsid w:val="006B69FE"/>
    <w:rsid w:val="006B7EB0"/>
    <w:rsid w:val="006C128F"/>
    <w:rsid w:val="006C50C4"/>
    <w:rsid w:val="006C5E3B"/>
    <w:rsid w:val="006D1C95"/>
    <w:rsid w:val="006D46D3"/>
    <w:rsid w:val="006D4F4F"/>
    <w:rsid w:val="006D5F38"/>
    <w:rsid w:val="006D6C28"/>
    <w:rsid w:val="006D70DF"/>
    <w:rsid w:val="006D72ED"/>
    <w:rsid w:val="006E0221"/>
    <w:rsid w:val="006E037C"/>
    <w:rsid w:val="006E0D10"/>
    <w:rsid w:val="006E3E8D"/>
    <w:rsid w:val="006E4DA4"/>
    <w:rsid w:val="006E59B0"/>
    <w:rsid w:val="006E6C51"/>
    <w:rsid w:val="006F31A5"/>
    <w:rsid w:val="006F6582"/>
    <w:rsid w:val="006F6C8B"/>
    <w:rsid w:val="00700664"/>
    <w:rsid w:val="007009A4"/>
    <w:rsid w:val="00701EB2"/>
    <w:rsid w:val="00704EBB"/>
    <w:rsid w:val="007054C9"/>
    <w:rsid w:val="0070671B"/>
    <w:rsid w:val="007076F1"/>
    <w:rsid w:val="00710BB3"/>
    <w:rsid w:val="00712425"/>
    <w:rsid w:val="0071257E"/>
    <w:rsid w:val="00714CDE"/>
    <w:rsid w:val="007163C9"/>
    <w:rsid w:val="007175A6"/>
    <w:rsid w:val="0072065C"/>
    <w:rsid w:val="00722523"/>
    <w:rsid w:val="007260AF"/>
    <w:rsid w:val="00726B9D"/>
    <w:rsid w:val="00730D68"/>
    <w:rsid w:val="007324CE"/>
    <w:rsid w:val="00732F8D"/>
    <w:rsid w:val="00733796"/>
    <w:rsid w:val="00734455"/>
    <w:rsid w:val="00734EFE"/>
    <w:rsid w:val="00736617"/>
    <w:rsid w:val="0074146F"/>
    <w:rsid w:val="007423F4"/>
    <w:rsid w:val="0074387D"/>
    <w:rsid w:val="007462AB"/>
    <w:rsid w:val="00754F4D"/>
    <w:rsid w:val="00757971"/>
    <w:rsid w:val="007608FA"/>
    <w:rsid w:val="00761C33"/>
    <w:rsid w:val="00764677"/>
    <w:rsid w:val="007647BC"/>
    <w:rsid w:val="00764D96"/>
    <w:rsid w:val="00765457"/>
    <w:rsid w:val="00765E82"/>
    <w:rsid w:val="00766A04"/>
    <w:rsid w:val="0077315B"/>
    <w:rsid w:val="007733D9"/>
    <w:rsid w:val="00775E13"/>
    <w:rsid w:val="007763F5"/>
    <w:rsid w:val="00780A3A"/>
    <w:rsid w:val="00782BCD"/>
    <w:rsid w:val="00783854"/>
    <w:rsid w:val="00785612"/>
    <w:rsid w:val="00786053"/>
    <w:rsid w:val="00786A89"/>
    <w:rsid w:val="00787F65"/>
    <w:rsid w:val="007900BF"/>
    <w:rsid w:val="0079453C"/>
    <w:rsid w:val="007973F7"/>
    <w:rsid w:val="007A0612"/>
    <w:rsid w:val="007A3220"/>
    <w:rsid w:val="007A688F"/>
    <w:rsid w:val="007A7038"/>
    <w:rsid w:val="007A781C"/>
    <w:rsid w:val="007B1D8F"/>
    <w:rsid w:val="007B1E8F"/>
    <w:rsid w:val="007B1F83"/>
    <w:rsid w:val="007B2CB7"/>
    <w:rsid w:val="007B3F28"/>
    <w:rsid w:val="007B4CB1"/>
    <w:rsid w:val="007B4DA9"/>
    <w:rsid w:val="007B4F09"/>
    <w:rsid w:val="007B5F42"/>
    <w:rsid w:val="007B6958"/>
    <w:rsid w:val="007C1460"/>
    <w:rsid w:val="007C2D76"/>
    <w:rsid w:val="007D07F4"/>
    <w:rsid w:val="007D0CD0"/>
    <w:rsid w:val="007D19EE"/>
    <w:rsid w:val="007D1C2F"/>
    <w:rsid w:val="007D6CBA"/>
    <w:rsid w:val="007E0E9C"/>
    <w:rsid w:val="007E1612"/>
    <w:rsid w:val="007E1E45"/>
    <w:rsid w:val="007E391A"/>
    <w:rsid w:val="007E4F46"/>
    <w:rsid w:val="007E69A5"/>
    <w:rsid w:val="007E6FD0"/>
    <w:rsid w:val="007F19F2"/>
    <w:rsid w:val="007F3D40"/>
    <w:rsid w:val="007F575A"/>
    <w:rsid w:val="007F71A0"/>
    <w:rsid w:val="007F7F50"/>
    <w:rsid w:val="008023B4"/>
    <w:rsid w:val="008036C9"/>
    <w:rsid w:val="008041AF"/>
    <w:rsid w:val="00805D37"/>
    <w:rsid w:val="00806DF5"/>
    <w:rsid w:val="00807218"/>
    <w:rsid w:val="00813187"/>
    <w:rsid w:val="00816B50"/>
    <w:rsid w:val="00817731"/>
    <w:rsid w:val="008207B4"/>
    <w:rsid w:val="00821D4A"/>
    <w:rsid w:val="00822DC0"/>
    <w:rsid w:val="0083152B"/>
    <w:rsid w:val="00831BD5"/>
    <w:rsid w:val="00834406"/>
    <w:rsid w:val="00840512"/>
    <w:rsid w:val="00841CC7"/>
    <w:rsid w:val="00842515"/>
    <w:rsid w:val="008438BB"/>
    <w:rsid w:val="00845CAE"/>
    <w:rsid w:val="00846500"/>
    <w:rsid w:val="00852400"/>
    <w:rsid w:val="00853267"/>
    <w:rsid w:val="0085352F"/>
    <w:rsid w:val="00853C9E"/>
    <w:rsid w:val="008550A4"/>
    <w:rsid w:val="00855763"/>
    <w:rsid w:val="008561D0"/>
    <w:rsid w:val="00863413"/>
    <w:rsid w:val="008646F3"/>
    <w:rsid w:val="00864DCE"/>
    <w:rsid w:val="00865D50"/>
    <w:rsid w:val="008664CB"/>
    <w:rsid w:val="00866850"/>
    <w:rsid w:val="0086691F"/>
    <w:rsid w:val="00867FE4"/>
    <w:rsid w:val="00870F51"/>
    <w:rsid w:val="0087167E"/>
    <w:rsid w:val="00874508"/>
    <w:rsid w:val="00874784"/>
    <w:rsid w:val="00876F89"/>
    <w:rsid w:val="008774EC"/>
    <w:rsid w:val="00881BAA"/>
    <w:rsid w:val="008821DE"/>
    <w:rsid w:val="00883DD1"/>
    <w:rsid w:val="008841E2"/>
    <w:rsid w:val="0088425E"/>
    <w:rsid w:val="008847BA"/>
    <w:rsid w:val="008849F6"/>
    <w:rsid w:val="00884ACC"/>
    <w:rsid w:val="008867D4"/>
    <w:rsid w:val="008869A4"/>
    <w:rsid w:val="00886BA2"/>
    <w:rsid w:val="008876F5"/>
    <w:rsid w:val="00890BFE"/>
    <w:rsid w:val="008917E1"/>
    <w:rsid w:val="00892776"/>
    <w:rsid w:val="00892D51"/>
    <w:rsid w:val="0089345A"/>
    <w:rsid w:val="00893743"/>
    <w:rsid w:val="008955D9"/>
    <w:rsid w:val="00895854"/>
    <w:rsid w:val="008962F5"/>
    <w:rsid w:val="00896A35"/>
    <w:rsid w:val="008973FB"/>
    <w:rsid w:val="008A4627"/>
    <w:rsid w:val="008A5DCA"/>
    <w:rsid w:val="008A64A8"/>
    <w:rsid w:val="008A8E5A"/>
    <w:rsid w:val="008B0A81"/>
    <w:rsid w:val="008B1F4F"/>
    <w:rsid w:val="008B4186"/>
    <w:rsid w:val="008B5054"/>
    <w:rsid w:val="008B56D0"/>
    <w:rsid w:val="008B6145"/>
    <w:rsid w:val="008B61DC"/>
    <w:rsid w:val="008B6958"/>
    <w:rsid w:val="008B76B3"/>
    <w:rsid w:val="008B7C3E"/>
    <w:rsid w:val="008B7D00"/>
    <w:rsid w:val="008C0925"/>
    <w:rsid w:val="008C0B84"/>
    <w:rsid w:val="008C2079"/>
    <w:rsid w:val="008C4AA3"/>
    <w:rsid w:val="008C5E92"/>
    <w:rsid w:val="008C5F80"/>
    <w:rsid w:val="008C6D7B"/>
    <w:rsid w:val="008C730E"/>
    <w:rsid w:val="008D07EF"/>
    <w:rsid w:val="008D28F7"/>
    <w:rsid w:val="008D4671"/>
    <w:rsid w:val="008D48E4"/>
    <w:rsid w:val="008D5BCE"/>
    <w:rsid w:val="008D7032"/>
    <w:rsid w:val="008E452B"/>
    <w:rsid w:val="008E4EF1"/>
    <w:rsid w:val="008E58D2"/>
    <w:rsid w:val="008E65D1"/>
    <w:rsid w:val="008E6A77"/>
    <w:rsid w:val="008E735D"/>
    <w:rsid w:val="008F14DE"/>
    <w:rsid w:val="008F3AE8"/>
    <w:rsid w:val="008F3B3E"/>
    <w:rsid w:val="008F3F97"/>
    <w:rsid w:val="008F4254"/>
    <w:rsid w:val="008F5906"/>
    <w:rsid w:val="008F5C6B"/>
    <w:rsid w:val="0090051D"/>
    <w:rsid w:val="00903F78"/>
    <w:rsid w:val="00914208"/>
    <w:rsid w:val="00915E5C"/>
    <w:rsid w:val="00917B18"/>
    <w:rsid w:val="009212D5"/>
    <w:rsid w:val="009212DB"/>
    <w:rsid w:val="009238A7"/>
    <w:rsid w:val="00923D30"/>
    <w:rsid w:val="0092580C"/>
    <w:rsid w:val="00925E61"/>
    <w:rsid w:val="0093288B"/>
    <w:rsid w:val="009336CB"/>
    <w:rsid w:val="00933B18"/>
    <w:rsid w:val="00933DCA"/>
    <w:rsid w:val="009342A5"/>
    <w:rsid w:val="00935170"/>
    <w:rsid w:val="00935FF2"/>
    <w:rsid w:val="009401C0"/>
    <w:rsid w:val="009422DE"/>
    <w:rsid w:val="00942B92"/>
    <w:rsid w:val="00947201"/>
    <w:rsid w:val="00954EA5"/>
    <w:rsid w:val="00960962"/>
    <w:rsid w:val="00961F65"/>
    <w:rsid w:val="009700AE"/>
    <w:rsid w:val="009715F0"/>
    <w:rsid w:val="0097376E"/>
    <w:rsid w:val="00973A81"/>
    <w:rsid w:val="00974509"/>
    <w:rsid w:val="00976D5C"/>
    <w:rsid w:val="00980927"/>
    <w:rsid w:val="00981562"/>
    <w:rsid w:val="009855BC"/>
    <w:rsid w:val="00985A23"/>
    <w:rsid w:val="0099115A"/>
    <w:rsid w:val="00992B40"/>
    <w:rsid w:val="00993141"/>
    <w:rsid w:val="0099354E"/>
    <w:rsid w:val="0099608F"/>
    <w:rsid w:val="009A1497"/>
    <w:rsid w:val="009A1E2A"/>
    <w:rsid w:val="009A27EA"/>
    <w:rsid w:val="009A43DE"/>
    <w:rsid w:val="009A516C"/>
    <w:rsid w:val="009B0E42"/>
    <w:rsid w:val="009B3263"/>
    <w:rsid w:val="009B3B5E"/>
    <w:rsid w:val="009B77E3"/>
    <w:rsid w:val="009C0BAD"/>
    <w:rsid w:val="009C174A"/>
    <w:rsid w:val="009C2774"/>
    <w:rsid w:val="009C5176"/>
    <w:rsid w:val="009C595B"/>
    <w:rsid w:val="009C6D3C"/>
    <w:rsid w:val="009C6F7C"/>
    <w:rsid w:val="009D01E0"/>
    <w:rsid w:val="009D3684"/>
    <w:rsid w:val="009D427A"/>
    <w:rsid w:val="009D6098"/>
    <w:rsid w:val="009E0025"/>
    <w:rsid w:val="009E0477"/>
    <w:rsid w:val="009E172D"/>
    <w:rsid w:val="009E343F"/>
    <w:rsid w:val="009E7358"/>
    <w:rsid w:val="009F226B"/>
    <w:rsid w:val="009F2A3A"/>
    <w:rsid w:val="009F2F78"/>
    <w:rsid w:val="00A00D47"/>
    <w:rsid w:val="00A03DFB"/>
    <w:rsid w:val="00A05B54"/>
    <w:rsid w:val="00A06D7C"/>
    <w:rsid w:val="00A079CD"/>
    <w:rsid w:val="00A079D8"/>
    <w:rsid w:val="00A10629"/>
    <w:rsid w:val="00A123E1"/>
    <w:rsid w:val="00A13B9E"/>
    <w:rsid w:val="00A13FB7"/>
    <w:rsid w:val="00A14692"/>
    <w:rsid w:val="00A14702"/>
    <w:rsid w:val="00A14CA0"/>
    <w:rsid w:val="00A15B79"/>
    <w:rsid w:val="00A160F7"/>
    <w:rsid w:val="00A273A8"/>
    <w:rsid w:val="00A27519"/>
    <w:rsid w:val="00A30105"/>
    <w:rsid w:val="00A30800"/>
    <w:rsid w:val="00A30AFF"/>
    <w:rsid w:val="00A30FD3"/>
    <w:rsid w:val="00A30FDE"/>
    <w:rsid w:val="00A32E6A"/>
    <w:rsid w:val="00A36E61"/>
    <w:rsid w:val="00A370A1"/>
    <w:rsid w:val="00A44CA8"/>
    <w:rsid w:val="00A47065"/>
    <w:rsid w:val="00A50D5A"/>
    <w:rsid w:val="00A5160E"/>
    <w:rsid w:val="00A5591A"/>
    <w:rsid w:val="00A55C69"/>
    <w:rsid w:val="00A561AF"/>
    <w:rsid w:val="00A60EDB"/>
    <w:rsid w:val="00A63E8E"/>
    <w:rsid w:val="00A6617E"/>
    <w:rsid w:val="00A66FE7"/>
    <w:rsid w:val="00A70EF4"/>
    <w:rsid w:val="00A77F1D"/>
    <w:rsid w:val="00A8015E"/>
    <w:rsid w:val="00A831D6"/>
    <w:rsid w:val="00A835B7"/>
    <w:rsid w:val="00A8395F"/>
    <w:rsid w:val="00A85405"/>
    <w:rsid w:val="00A86DA8"/>
    <w:rsid w:val="00A872C4"/>
    <w:rsid w:val="00A90018"/>
    <w:rsid w:val="00A90883"/>
    <w:rsid w:val="00A90F70"/>
    <w:rsid w:val="00A91670"/>
    <w:rsid w:val="00A923F5"/>
    <w:rsid w:val="00A934AD"/>
    <w:rsid w:val="00A934FF"/>
    <w:rsid w:val="00A9488B"/>
    <w:rsid w:val="00A948EE"/>
    <w:rsid w:val="00A975F9"/>
    <w:rsid w:val="00AA23BE"/>
    <w:rsid w:val="00AA34B5"/>
    <w:rsid w:val="00AA4996"/>
    <w:rsid w:val="00AA4A70"/>
    <w:rsid w:val="00AA5A56"/>
    <w:rsid w:val="00AB0CF6"/>
    <w:rsid w:val="00AB1344"/>
    <w:rsid w:val="00AB4C1C"/>
    <w:rsid w:val="00AB6459"/>
    <w:rsid w:val="00AB6B38"/>
    <w:rsid w:val="00AB6DD6"/>
    <w:rsid w:val="00AC0CCB"/>
    <w:rsid w:val="00AC6081"/>
    <w:rsid w:val="00AD4716"/>
    <w:rsid w:val="00AD4C7D"/>
    <w:rsid w:val="00AD5C42"/>
    <w:rsid w:val="00AD5E74"/>
    <w:rsid w:val="00AD610D"/>
    <w:rsid w:val="00AD78CF"/>
    <w:rsid w:val="00AD7BF4"/>
    <w:rsid w:val="00AE0A9E"/>
    <w:rsid w:val="00AE1E6E"/>
    <w:rsid w:val="00AE3B7E"/>
    <w:rsid w:val="00AE410B"/>
    <w:rsid w:val="00AE419F"/>
    <w:rsid w:val="00AE7645"/>
    <w:rsid w:val="00AF280E"/>
    <w:rsid w:val="00AF2844"/>
    <w:rsid w:val="00AF2D00"/>
    <w:rsid w:val="00AF417E"/>
    <w:rsid w:val="00AF75B7"/>
    <w:rsid w:val="00B00C87"/>
    <w:rsid w:val="00B0114B"/>
    <w:rsid w:val="00B0218E"/>
    <w:rsid w:val="00B023F4"/>
    <w:rsid w:val="00B0300B"/>
    <w:rsid w:val="00B04D29"/>
    <w:rsid w:val="00B0730A"/>
    <w:rsid w:val="00B1016F"/>
    <w:rsid w:val="00B11295"/>
    <w:rsid w:val="00B11D5F"/>
    <w:rsid w:val="00B11F60"/>
    <w:rsid w:val="00B12B47"/>
    <w:rsid w:val="00B13B18"/>
    <w:rsid w:val="00B149E5"/>
    <w:rsid w:val="00B213C5"/>
    <w:rsid w:val="00B214D4"/>
    <w:rsid w:val="00B21F6D"/>
    <w:rsid w:val="00B23124"/>
    <w:rsid w:val="00B23560"/>
    <w:rsid w:val="00B23ABD"/>
    <w:rsid w:val="00B2603A"/>
    <w:rsid w:val="00B26358"/>
    <w:rsid w:val="00B3084F"/>
    <w:rsid w:val="00B3133F"/>
    <w:rsid w:val="00B33136"/>
    <w:rsid w:val="00B33AC7"/>
    <w:rsid w:val="00B33D2F"/>
    <w:rsid w:val="00B33DBE"/>
    <w:rsid w:val="00B3538C"/>
    <w:rsid w:val="00B36A34"/>
    <w:rsid w:val="00B40528"/>
    <w:rsid w:val="00B416CD"/>
    <w:rsid w:val="00B41B82"/>
    <w:rsid w:val="00B44F28"/>
    <w:rsid w:val="00B45AB3"/>
    <w:rsid w:val="00B45D9F"/>
    <w:rsid w:val="00B46367"/>
    <w:rsid w:val="00B503FF"/>
    <w:rsid w:val="00B50ED6"/>
    <w:rsid w:val="00B51AF3"/>
    <w:rsid w:val="00B53575"/>
    <w:rsid w:val="00B53AF2"/>
    <w:rsid w:val="00B542EF"/>
    <w:rsid w:val="00B553A2"/>
    <w:rsid w:val="00B55F4E"/>
    <w:rsid w:val="00B70725"/>
    <w:rsid w:val="00B71C05"/>
    <w:rsid w:val="00B72C8E"/>
    <w:rsid w:val="00B73A49"/>
    <w:rsid w:val="00B73E27"/>
    <w:rsid w:val="00B76E66"/>
    <w:rsid w:val="00B777E0"/>
    <w:rsid w:val="00B77E77"/>
    <w:rsid w:val="00B80EB6"/>
    <w:rsid w:val="00B80ED7"/>
    <w:rsid w:val="00B863AE"/>
    <w:rsid w:val="00B915BF"/>
    <w:rsid w:val="00B91827"/>
    <w:rsid w:val="00B953FC"/>
    <w:rsid w:val="00B95878"/>
    <w:rsid w:val="00BA403B"/>
    <w:rsid w:val="00BA53CC"/>
    <w:rsid w:val="00BA5CD7"/>
    <w:rsid w:val="00BA64FE"/>
    <w:rsid w:val="00BA6A51"/>
    <w:rsid w:val="00BA75EA"/>
    <w:rsid w:val="00BB3B4D"/>
    <w:rsid w:val="00BB68B7"/>
    <w:rsid w:val="00BC0319"/>
    <w:rsid w:val="00BC0D6D"/>
    <w:rsid w:val="00BC2C6F"/>
    <w:rsid w:val="00BC750F"/>
    <w:rsid w:val="00BC78C5"/>
    <w:rsid w:val="00BD24E0"/>
    <w:rsid w:val="00BD29CB"/>
    <w:rsid w:val="00BD3429"/>
    <w:rsid w:val="00BD4729"/>
    <w:rsid w:val="00BD4FED"/>
    <w:rsid w:val="00BD78A6"/>
    <w:rsid w:val="00BE2607"/>
    <w:rsid w:val="00BE34D2"/>
    <w:rsid w:val="00BE407F"/>
    <w:rsid w:val="00BE5D15"/>
    <w:rsid w:val="00BE771E"/>
    <w:rsid w:val="00BF0039"/>
    <w:rsid w:val="00BF6F3F"/>
    <w:rsid w:val="00BF7666"/>
    <w:rsid w:val="00C004AB"/>
    <w:rsid w:val="00C01B80"/>
    <w:rsid w:val="00C03CF8"/>
    <w:rsid w:val="00C04772"/>
    <w:rsid w:val="00C10E87"/>
    <w:rsid w:val="00C13AB1"/>
    <w:rsid w:val="00C2593A"/>
    <w:rsid w:val="00C303EF"/>
    <w:rsid w:val="00C30D08"/>
    <w:rsid w:val="00C3785F"/>
    <w:rsid w:val="00C4025F"/>
    <w:rsid w:val="00C45AC8"/>
    <w:rsid w:val="00C461EE"/>
    <w:rsid w:val="00C521BA"/>
    <w:rsid w:val="00C522CE"/>
    <w:rsid w:val="00C54F38"/>
    <w:rsid w:val="00C569B6"/>
    <w:rsid w:val="00C612D0"/>
    <w:rsid w:val="00C616FA"/>
    <w:rsid w:val="00C62143"/>
    <w:rsid w:val="00C62837"/>
    <w:rsid w:val="00C6286E"/>
    <w:rsid w:val="00C65C18"/>
    <w:rsid w:val="00C66C3C"/>
    <w:rsid w:val="00C67146"/>
    <w:rsid w:val="00C67214"/>
    <w:rsid w:val="00C677E4"/>
    <w:rsid w:val="00C732FE"/>
    <w:rsid w:val="00C73C83"/>
    <w:rsid w:val="00C75378"/>
    <w:rsid w:val="00C75E0C"/>
    <w:rsid w:val="00C7790B"/>
    <w:rsid w:val="00C841AB"/>
    <w:rsid w:val="00C86369"/>
    <w:rsid w:val="00C86BC9"/>
    <w:rsid w:val="00C875CF"/>
    <w:rsid w:val="00C9061A"/>
    <w:rsid w:val="00C91B03"/>
    <w:rsid w:val="00C91DA8"/>
    <w:rsid w:val="00C92FC5"/>
    <w:rsid w:val="00C93339"/>
    <w:rsid w:val="00C968ED"/>
    <w:rsid w:val="00CA0AEE"/>
    <w:rsid w:val="00CA446A"/>
    <w:rsid w:val="00CA47A6"/>
    <w:rsid w:val="00CA4A1C"/>
    <w:rsid w:val="00CA4D09"/>
    <w:rsid w:val="00CA67B6"/>
    <w:rsid w:val="00CA78EF"/>
    <w:rsid w:val="00CB00C0"/>
    <w:rsid w:val="00CB0408"/>
    <w:rsid w:val="00CB12C9"/>
    <w:rsid w:val="00CB1B31"/>
    <w:rsid w:val="00CB297A"/>
    <w:rsid w:val="00CB2B5F"/>
    <w:rsid w:val="00CB5373"/>
    <w:rsid w:val="00CB5562"/>
    <w:rsid w:val="00CB60C2"/>
    <w:rsid w:val="00CC2573"/>
    <w:rsid w:val="00CC457E"/>
    <w:rsid w:val="00CC5093"/>
    <w:rsid w:val="00CC7AAF"/>
    <w:rsid w:val="00CD3E62"/>
    <w:rsid w:val="00CE09A6"/>
    <w:rsid w:val="00CE5702"/>
    <w:rsid w:val="00CE90A2"/>
    <w:rsid w:val="00CF21BC"/>
    <w:rsid w:val="00CF3B09"/>
    <w:rsid w:val="00CF4260"/>
    <w:rsid w:val="00CF6ADE"/>
    <w:rsid w:val="00D00296"/>
    <w:rsid w:val="00D01AEA"/>
    <w:rsid w:val="00D02EAF"/>
    <w:rsid w:val="00D03D3F"/>
    <w:rsid w:val="00D04815"/>
    <w:rsid w:val="00D10959"/>
    <w:rsid w:val="00D12FAD"/>
    <w:rsid w:val="00D13A28"/>
    <w:rsid w:val="00D13B0A"/>
    <w:rsid w:val="00D14986"/>
    <w:rsid w:val="00D14F5B"/>
    <w:rsid w:val="00D2651C"/>
    <w:rsid w:val="00D27853"/>
    <w:rsid w:val="00D30F57"/>
    <w:rsid w:val="00D314A4"/>
    <w:rsid w:val="00D31EEC"/>
    <w:rsid w:val="00D3393E"/>
    <w:rsid w:val="00D42C89"/>
    <w:rsid w:val="00D521F5"/>
    <w:rsid w:val="00D547C5"/>
    <w:rsid w:val="00D55C93"/>
    <w:rsid w:val="00D5649D"/>
    <w:rsid w:val="00D60E9C"/>
    <w:rsid w:val="00D61D04"/>
    <w:rsid w:val="00D61FC8"/>
    <w:rsid w:val="00D62AD2"/>
    <w:rsid w:val="00D631BA"/>
    <w:rsid w:val="00D64662"/>
    <w:rsid w:val="00D66F78"/>
    <w:rsid w:val="00D70330"/>
    <w:rsid w:val="00D70BBB"/>
    <w:rsid w:val="00D71F7E"/>
    <w:rsid w:val="00D72347"/>
    <w:rsid w:val="00D75222"/>
    <w:rsid w:val="00D766D4"/>
    <w:rsid w:val="00D7685F"/>
    <w:rsid w:val="00D76F16"/>
    <w:rsid w:val="00D77840"/>
    <w:rsid w:val="00D80B54"/>
    <w:rsid w:val="00D8234D"/>
    <w:rsid w:val="00D84D2D"/>
    <w:rsid w:val="00D85AB5"/>
    <w:rsid w:val="00D87C64"/>
    <w:rsid w:val="00D9416B"/>
    <w:rsid w:val="00D9426B"/>
    <w:rsid w:val="00D95777"/>
    <w:rsid w:val="00DA029F"/>
    <w:rsid w:val="00DA3489"/>
    <w:rsid w:val="00DA3591"/>
    <w:rsid w:val="00DA3DC1"/>
    <w:rsid w:val="00DA44D5"/>
    <w:rsid w:val="00DB1F13"/>
    <w:rsid w:val="00DB3C9C"/>
    <w:rsid w:val="00DB5131"/>
    <w:rsid w:val="00DB5DC6"/>
    <w:rsid w:val="00DB62A3"/>
    <w:rsid w:val="00DB727E"/>
    <w:rsid w:val="00DC1889"/>
    <w:rsid w:val="00DC2780"/>
    <w:rsid w:val="00DC3B33"/>
    <w:rsid w:val="00DC50A4"/>
    <w:rsid w:val="00DC51E5"/>
    <w:rsid w:val="00DC54BD"/>
    <w:rsid w:val="00DC59F9"/>
    <w:rsid w:val="00DC7D4D"/>
    <w:rsid w:val="00DD2711"/>
    <w:rsid w:val="00DD3CF7"/>
    <w:rsid w:val="00DD510E"/>
    <w:rsid w:val="00DD5B9F"/>
    <w:rsid w:val="00DD5FDC"/>
    <w:rsid w:val="00DD6637"/>
    <w:rsid w:val="00DE1116"/>
    <w:rsid w:val="00DE3754"/>
    <w:rsid w:val="00DE3DDB"/>
    <w:rsid w:val="00DE4085"/>
    <w:rsid w:val="00DE4726"/>
    <w:rsid w:val="00DE5340"/>
    <w:rsid w:val="00DE5F3D"/>
    <w:rsid w:val="00DF01D3"/>
    <w:rsid w:val="00DF1B9F"/>
    <w:rsid w:val="00DF1CC0"/>
    <w:rsid w:val="00DF2319"/>
    <w:rsid w:val="00DF2FDC"/>
    <w:rsid w:val="00DF3925"/>
    <w:rsid w:val="00DF492B"/>
    <w:rsid w:val="00DF4BA4"/>
    <w:rsid w:val="00DF52FC"/>
    <w:rsid w:val="00DF5522"/>
    <w:rsid w:val="00DF5AAA"/>
    <w:rsid w:val="00DF6F3A"/>
    <w:rsid w:val="00DF75FA"/>
    <w:rsid w:val="00E000C8"/>
    <w:rsid w:val="00E02396"/>
    <w:rsid w:val="00E05049"/>
    <w:rsid w:val="00E06DD9"/>
    <w:rsid w:val="00E11341"/>
    <w:rsid w:val="00E131A0"/>
    <w:rsid w:val="00E14193"/>
    <w:rsid w:val="00E16F58"/>
    <w:rsid w:val="00E1723D"/>
    <w:rsid w:val="00E22696"/>
    <w:rsid w:val="00E236CB"/>
    <w:rsid w:val="00E23D9C"/>
    <w:rsid w:val="00E33181"/>
    <w:rsid w:val="00E40D71"/>
    <w:rsid w:val="00E422A9"/>
    <w:rsid w:val="00E44DAB"/>
    <w:rsid w:val="00E46487"/>
    <w:rsid w:val="00E47EDF"/>
    <w:rsid w:val="00E50647"/>
    <w:rsid w:val="00E5093D"/>
    <w:rsid w:val="00E52000"/>
    <w:rsid w:val="00E52C71"/>
    <w:rsid w:val="00E541A9"/>
    <w:rsid w:val="00E54563"/>
    <w:rsid w:val="00E550AE"/>
    <w:rsid w:val="00E62008"/>
    <w:rsid w:val="00E64FFE"/>
    <w:rsid w:val="00E67C5A"/>
    <w:rsid w:val="00E722B1"/>
    <w:rsid w:val="00E7480D"/>
    <w:rsid w:val="00E75AAB"/>
    <w:rsid w:val="00E76B05"/>
    <w:rsid w:val="00E81052"/>
    <w:rsid w:val="00E871C8"/>
    <w:rsid w:val="00E91AC5"/>
    <w:rsid w:val="00E91B4D"/>
    <w:rsid w:val="00E9236A"/>
    <w:rsid w:val="00E94903"/>
    <w:rsid w:val="00E97E07"/>
    <w:rsid w:val="00EA07C7"/>
    <w:rsid w:val="00EA1C66"/>
    <w:rsid w:val="00EA1F05"/>
    <w:rsid w:val="00EA2FC6"/>
    <w:rsid w:val="00EA3ED2"/>
    <w:rsid w:val="00EA410E"/>
    <w:rsid w:val="00EA4367"/>
    <w:rsid w:val="00EA714E"/>
    <w:rsid w:val="00EB00E2"/>
    <w:rsid w:val="00EB0295"/>
    <w:rsid w:val="00EB1BF3"/>
    <w:rsid w:val="00EB501D"/>
    <w:rsid w:val="00EB5187"/>
    <w:rsid w:val="00EB68A0"/>
    <w:rsid w:val="00EC1001"/>
    <w:rsid w:val="00EC17A8"/>
    <w:rsid w:val="00EC3CE0"/>
    <w:rsid w:val="00EC4E1C"/>
    <w:rsid w:val="00EC7157"/>
    <w:rsid w:val="00EC7F3A"/>
    <w:rsid w:val="00ED11CD"/>
    <w:rsid w:val="00ED1811"/>
    <w:rsid w:val="00ED321B"/>
    <w:rsid w:val="00ED368C"/>
    <w:rsid w:val="00ED461D"/>
    <w:rsid w:val="00ED4BF5"/>
    <w:rsid w:val="00EE07D1"/>
    <w:rsid w:val="00EE25AB"/>
    <w:rsid w:val="00EE2D27"/>
    <w:rsid w:val="00EE2E1F"/>
    <w:rsid w:val="00EE4A60"/>
    <w:rsid w:val="00EE71EF"/>
    <w:rsid w:val="00EE76EF"/>
    <w:rsid w:val="00EE7C04"/>
    <w:rsid w:val="00EF339E"/>
    <w:rsid w:val="00EF39D3"/>
    <w:rsid w:val="00EF40AC"/>
    <w:rsid w:val="00EF6387"/>
    <w:rsid w:val="00F03456"/>
    <w:rsid w:val="00F03C81"/>
    <w:rsid w:val="00F04442"/>
    <w:rsid w:val="00F04A3F"/>
    <w:rsid w:val="00F104FE"/>
    <w:rsid w:val="00F11E7C"/>
    <w:rsid w:val="00F150E4"/>
    <w:rsid w:val="00F20717"/>
    <w:rsid w:val="00F2212E"/>
    <w:rsid w:val="00F22214"/>
    <w:rsid w:val="00F2254E"/>
    <w:rsid w:val="00F23F56"/>
    <w:rsid w:val="00F24211"/>
    <w:rsid w:val="00F24530"/>
    <w:rsid w:val="00F264A2"/>
    <w:rsid w:val="00F27052"/>
    <w:rsid w:val="00F303B6"/>
    <w:rsid w:val="00F31E2A"/>
    <w:rsid w:val="00F31F74"/>
    <w:rsid w:val="00F34C67"/>
    <w:rsid w:val="00F35D7A"/>
    <w:rsid w:val="00F375AB"/>
    <w:rsid w:val="00F409BA"/>
    <w:rsid w:val="00F40CC2"/>
    <w:rsid w:val="00F41567"/>
    <w:rsid w:val="00F43D5B"/>
    <w:rsid w:val="00F4659F"/>
    <w:rsid w:val="00F46D31"/>
    <w:rsid w:val="00F548A1"/>
    <w:rsid w:val="00F55788"/>
    <w:rsid w:val="00F55E28"/>
    <w:rsid w:val="00F573EA"/>
    <w:rsid w:val="00F579F8"/>
    <w:rsid w:val="00F612DA"/>
    <w:rsid w:val="00F614A1"/>
    <w:rsid w:val="00F6255B"/>
    <w:rsid w:val="00F63458"/>
    <w:rsid w:val="00F63E9D"/>
    <w:rsid w:val="00F6672B"/>
    <w:rsid w:val="00F672E3"/>
    <w:rsid w:val="00F672EB"/>
    <w:rsid w:val="00F70072"/>
    <w:rsid w:val="00F71FD4"/>
    <w:rsid w:val="00F75394"/>
    <w:rsid w:val="00F75E1F"/>
    <w:rsid w:val="00F90B15"/>
    <w:rsid w:val="00F918A1"/>
    <w:rsid w:val="00F92302"/>
    <w:rsid w:val="00F945E7"/>
    <w:rsid w:val="00F94980"/>
    <w:rsid w:val="00F95E04"/>
    <w:rsid w:val="00FA1316"/>
    <w:rsid w:val="00FA1465"/>
    <w:rsid w:val="00FA444D"/>
    <w:rsid w:val="00FA4998"/>
    <w:rsid w:val="00FA5D88"/>
    <w:rsid w:val="00FA7B47"/>
    <w:rsid w:val="00FA7D96"/>
    <w:rsid w:val="00FA7DDC"/>
    <w:rsid w:val="00FB262E"/>
    <w:rsid w:val="00FB7943"/>
    <w:rsid w:val="00FC1CE7"/>
    <w:rsid w:val="00FC1EAC"/>
    <w:rsid w:val="00FC393C"/>
    <w:rsid w:val="00FC57C1"/>
    <w:rsid w:val="00FC634D"/>
    <w:rsid w:val="00FC7847"/>
    <w:rsid w:val="00FD2095"/>
    <w:rsid w:val="00FD282E"/>
    <w:rsid w:val="00FD3232"/>
    <w:rsid w:val="00FD3612"/>
    <w:rsid w:val="00FD3667"/>
    <w:rsid w:val="00FD3D73"/>
    <w:rsid w:val="00FE2C40"/>
    <w:rsid w:val="00FE2CD1"/>
    <w:rsid w:val="00FE2CED"/>
    <w:rsid w:val="00FE46EC"/>
    <w:rsid w:val="00FE54BC"/>
    <w:rsid w:val="00FE618B"/>
    <w:rsid w:val="00FE7861"/>
    <w:rsid w:val="00FF369D"/>
    <w:rsid w:val="00FF7725"/>
    <w:rsid w:val="01338D96"/>
    <w:rsid w:val="022E1A3B"/>
    <w:rsid w:val="02603803"/>
    <w:rsid w:val="02609559"/>
    <w:rsid w:val="0288502F"/>
    <w:rsid w:val="02A80CE6"/>
    <w:rsid w:val="02F9E107"/>
    <w:rsid w:val="0312B340"/>
    <w:rsid w:val="0327427B"/>
    <w:rsid w:val="0357824D"/>
    <w:rsid w:val="037CBFC5"/>
    <w:rsid w:val="03CA3D63"/>
    <w:rsid w:val="03DBE3BB"/>
    <w:rsid w:val="0405D315"/>
    <w:rsid w:val="04924239"/>
    <w:rsid w:val="049B0BC3"/>
    <w:rsid w:val="04AE6841"/>
    <w:rsid w:val="04B05B19"/>
    <w:rsid w:val="05229438"/>
    <w:rsid w:val="054A5EF5"/>
    <w:rsid w:val="055AB370"/>
    <w:rsid w:val="055C4096"/>
    <w:rsid w:val="057638B1"/>
    <w:rsid w:val="05AFFCAD"/>
    <w:rsid w:val="05CA1BD8"/>
    <w:rsid w:val="05D4BE4A"/>
    <w:rsid w:val="05F28CD0"/>
    <w:rsid w:val="060470A8"/>
    <w:rsid w:val="062CE808"/>
    <w:rsid w:val="06E072EE"/>
    <w:rsid w:val="06F93791"/>
    <w:rsid w:val="07088CA3"/>
    <w:rsid w:val="070C37F7"/>
    <w:rsid w:val="07471D37"/>
    <w:rsid w:val="07A5FAD8"/>
    <w:rsid w:val="081373CF"/>
    <w:rsid w:val="08512B6A"/>
    <w:rsid w:val="08610A41"/>
    <w:rsid w:val="08650336"/>
    <w:rsid w:val="0896A501"/>
    <w:rsid w:val="08AFA9F4"/>
    <w:rsid w:val="08BF6C7A"/>
    <w:rsid w:val="08D94438"/>
    <w:rsid w:val="08EDDE40"/>
    <w:rsid w:val="0996D093"/>
    <w:rsid w:val="0A087144"/>
    <w:rsid w:val="0A3CC6AD"/>
    <w:rsid w:val="0A559F3A"/>
    <w:rsid w:val="0AC8E494"/>
    <w:rsid w:val="0AECAEB4"/>
    <w:rsid w:val="0B0D5AA3"/>
    <w:rsid w:val="0B73E34A"/>
    <w:rsid w:val="0B8F1192"/>
    <w:rsid w:val="0BFF16C2"/>
    <w:rsid w:val="0D21AFB2"/>
    <w:rsid w:val="0D7B356D"/>
    <w:rsid w:val="0DBDB8CB"/>
    <w:rsid w:val="0E1882F6"/>
    <w:rsid w:val="0E6B15AF"/>
    <w:rsid w:val="0E809C0D"/>
    <w:rsid w:val="0E86F868"/>
    <w:rsid w:val="0E9549ED"/>
    <w:rsid w:val="0EB87343"/>
    <w:rsid w:val="0EDC54AE"/>
    <w:rsid w:val="0F0AB5D9"/>
    <w:rsid w:val="0F0FAAE0"/>
    <w:rsid w:val="0F1E7D92"/>
    <w:rsid w:val="0F21C2C6"/>
    <w:rsid w:val="0F3D85A4"/>
    <w:rsid w:val="0FB6D6F0"/>
    <w:rsid w:val="0FE42F54"/>
    <w:rsid w:val="1029D5BF"/>
    <w:rsid w:val="103A3FC4"/>
    <w:rsid w:val="104596FB"/>
    <w:rsid w:val="106F02C7"/>
    <w:rsid w:val="111D4BE0"/>
    <w:rsid w:val="1166CC5A"/>
    <w:rsid w:val="11B753FC"/>
    <w:rsid w:val="1229CB30"/>
    <w:rsid w:val="122D27E1"/>
    <w:rsid w:val="123CB193"/>
    <w:rsid w:val="1244D870"/>
    <w:rsid w:val="12899722"/>
    <w:rsid w:val="12944CEB"/>
    <w:rsid w:val="12C8FE3B"/>
    <w:rsid w:val="1367BA36"/>
    <w:rsid w:val="13761B32"/>
    <w:rsid w:val="13EC1754"/>
    <w:rsid w:val="13F5B85D"/>
    <w:rsid w:val="13FB22F1"/>
    <w:rsid w:val="14161009"/>
    <w:rsid w:val="145992D1"/>
    <w:rsid w:val="14C26C29"/>
    <w:rsid w:val="153FB14E"/>
    <w:rsid w:val="1541EF64"/>
    <w:rsid w:val="156E8BA5"/>
    <w:rsid w:val="158DBF16"/>
    <w:rsid w:val="1595A9D7"/>
    <w:rsid w:val="15B0EB3D"/>
    <w:rsid w:val="15CFD516"/>
    <w:rsid w:val="163D0282"/>
    <w:rsid w:val="169F28D6"/>
    <w:rsid w:val="16D25F01"/>
    <w:rsid w:val="17142999"/>
    <w:rsid w:val="171789F9"/>
    <w:rsid w:val="17298F77"/>
    <w:rsid w:val="17391E8A"/>
    <w:rsid w:val="176E3C6A"/>
    <w:rsid w:val="17CE2E8C"/>
    <w:rsid w:val="17F4F459"/>
    <w:rsid w:val="17FFBC63"/>
    <w:rsid w:val="182E5DA7"/>
    <w:rsid w:val="186BE5F6"/>
    <w:rsid w:val="18B58328"/>
    <w:rsid w:val="18CEF789"/>
    <w:rsid w:val="18D10049"/>
    <w:rsid w:val="18E026FE"/>
    <w:rsid w:val="1928F45B"/>
    <w:rsid w:val="19596739"/>
    <w:rsid w:val="19D52A0D"/>
    <w:rsid w:val="19F2A75F"/>
    <w:rsid w:val="1A362136"/>
    <w:rsid w:val="1A548A16"/>
    <w:rsid w:val="1A615866"/>
    <w:rsid w:val="1A61B955"/>
    <w:rsid w:val="1AD56819"/>
    <w:rsid w:val="1AF34283"/>
    <w:rsid w:val="1B0AA478"/>
    <w:rsid w:val="1B5397FC"/>
    <w:rsid w:val="1BC43D46"/>
    <w:rsid w:val="1BD9BB1B"/>
    <w:rsid w:val="1BE1722E"/>
    <w:rsid w:val="1C03ABB3"/>
    <w:rsid w:val="1C222BA6"/>
    <w:rsid w:val="1C256AAE"/>
    <w:rsid w:val="1C277A75"/>
    <w:rsid w:val="1C2CCFDD"/>
    <w:rsid w:val="1C982E5F"/>
    <w:rsid w:val="1CAEF06B"/>
    <w:rsid w:val="1CB4F1B8"/>
    <w:rsid w:val="1D48F343"/>
    <w:rsid w:val="1D852400"/>
    <w:rsid w:val="1DAD063A"/>
    <w:rsid w:val="1DD2C7DC"/>
    <w:rsid w:val="1E97C29F"/>
    <w:rsid w:val="1E98BB65"/>
    <w:rsid w:val="1F344871"/>
    <w:rsid w:val="1F5E48B5"/>
    <w:rsid w:val="1F8A40BA"/>
    <w:rsid w:val="1F93C152"/>
    <w:rsid w:val="1FF77044"/>
    <w:rsid w:val="203B51EE"/>
    <w:rsid w:val="20959873"/>
    <w:rsid w:val="20E101F2"/>
    <w:rsid w:val="20FDE28A"/>
    <w:rsid w:val="214DF83C"/>
    <w:rsid w:val="21594B3B"/>
    <w:rsid w:val="2174178F"/>
    <w:rsid w:val="21A89C1D"/>
    <w:rsid w:val="21C549CB"/>
    <w:rsid w:val="223F6DF2"/>
    <w:rsid w:val="22E73949"/>
    <w:rsid w:val="22FCCEBB"/>
    <w:rsid w:val="2305A23D"/>
    <w:rsid w:val="2321CFB2"/>
    <w:rsid w:val="232AAE5D"/>
    <w:rsid w:val="23674654"/>
    <w:rsid w:val="23732806"/>
    <w:rsid w:val="2375772E"/>
    <w:rsid w:val="2378D264"/>
    <w:rsid w:val="237CE53B"/>
    <w:rsid w:val="23AA4E6F"/>
    <w:rsid w:val="24161B69"/>
    <w:rsid w:val="24358499"/>
    <w:rsid w:val="244A06A3"/>
    <w:rsid w:val="24608D5A"/>
    <w:rsid w:val="24A5257C"/>
    <w:rsid w:val="24AE7F4E"/>
    <w:rsid w:val="24B35CA2"/>
    <w:rsid w:val="24B53D9F"/>
    <w:rsid w:val="24C0B575"/>
    <w:rsid w:val="24C858C5"/>
    <w:rsid w:val="24E63824"/>
    <w:rsid w:val="251D47F8"/>
    <w:rsid w:val="2597CD27"/>
    <w:rsid w:val="25CA62C3"/>
    <w:rsid w:val="25F62E38"/>
    <w:rsid w:val="260194F1"/>
    <w:rsid w:val="261896D1"/>
    <w:rsid w:val="261CC846"/>
    <w:rsid w:val="263000DD"/>
    <w:rsid w:val="26651335"/>
    <w:rsid w:val="26690E89"/>
    <w:rsid w:val="267C1840"/>
    <w:rsid w:val="267ED80B"/>
    <w:rsid w:val="2682FAA7"/>
    <w:rsid w:val="268771EF"/>
    <w:rsid w:val="268DCC9B"/>
    <w:rsid w:val="26B07326"/>
    <w:rsid w:val="27161973"/>
    <w:rsid w:val="272390FF"/>
    <w:rsid w:val="274F9262"/>
    <w:rsid w:val="27668F80"/>
    <w:rsid w:val="276FB5C0"/>
    <w:rsid w:val="27779231"/>
    <w:rsid w:val="27DEA1A8"/>
    <w:rsid w:val="284C4387"/>
    <w:rsid w:val="288CC766"/>
    <w:rsid w:val="28AA9E7E"/>
    <w:rsid w:val="28C350ED"/>
    <w:rsid w:val="28CDE1CA"/>
    <w:rsid w:val="296304B8"/>
    <w:rsid w:val="2971BD78"/>
    <w:rsid w:val="298DF3FD"/>
    <w:rsid w:val="29C28A10"/>
    <w:rsid w:val="29E071EA"/>
    <w:rsid w:val="2A4743C2"/>
    <w:rsid w:val="2A4B4A15"/>
    <w:rsid w:val="2A5144EF"/>
    <w:rsid w:val="2A5706AF"/>
    <w:rsid w:val="2A5DB710"/>
    <w:rsid w:val="2A6586AD"/>
    <w:rsid w:val="2AA4EE0D"/>
    <w:rsid w:val="2AE2F490"/>
    <w:rsid w:val="2B36362B"/>
    <w:rsid w:val="2BAB4099"/>
    <w:rsid w:val="2BF2F2E3"/>
    <w:rsid w:val="2BFCDB1B"/>
    <w:rsid w:val="2C08E243"/>
    <w:rsid w:val="2C1709EF"/>
    <w:rsid w:val="2C96C2F6"/>
    <w:rsid w:val="2C9F8DC8"/>
    <w:rsid w:val="2CA7701B"/>
    <w:rsid w:val="2D0B9D30"/>
    <w:rsid w:val="2D1FB4AA"/>
    <w:rsid w:val="2D4D44BE"/>
    <w:rsid w:val="2DA8486C"/>
    <w:rsid w:val="2DEBD168"/>
    <w:rsid w:val="2EAB6E78"/>
    <w:rsid w:val="2EBB850B"/>
    <w:rsid w:val="2EE1E953"/>
    <w:rsid w:val="2F02B401"/>
    <w:rsid w:val="2F138D66"/>
    <w:rsid w:val="2F29E751"/>
    <w:rsid w:val="2F7CDB7B"/>
    <w:rsid w:val="2F88B8F1"/>
    <w:rsid w:val="2FD94791"/>
    <w:rsid w:val="30318A06"/>
    <w:rsid w:val="3058D88A"/>
    <w:rsid w:val="3084E580"/>
    <w:rsid w:val="308EEE75"/>
    <w:rsid w:val="309C2C3B"/>
    <w:rsid w:val="30ACE14A"/>
    <w:rsid w:val="30C414CC"/>
    <w:rsid w:val="30C7BF06"/>
    <w:rsid w:val="30FBAE28"/>
    <w:rsid w:val="30FCE90E"/>
    <w:rsid w:val="312C56D7"/>
    <w:rsid w:val="315BFA35"/>
    <w:rsid w:val="316D1C3F"/>
    <w:rsid w:val="31C1301D"/>
    <w:rsid w:val="320084BA"/>
    <w:rsid w:val="3208A6C2"/>
    <w:rsid w:val="325BB2E9"/>
    <w:rsid w:val="326386FB"/>
    <w:rsid w:val="3270B19F"/>
    <w:rsid w:val="327A4B9C"/>
    <w:rsid w:val="3293D033"/>
    <w:rsid w:val="32E43481"/>
    <w:rsid w:val="33119559"/>
    <w:rsid w:val="335D007E"/>
    <w:rsid w:val="339F0BBF"/>
    <w:rsid w:val="33A12312"/>
    <w:rsid w:val="33B12C30"/>
    <w:rsid w:val="33F9091C"/>
    <w:rsid w:val="3412B70D"/>
    <w:rsid w:val="34507C3D"/>
    <w:rsid w:val="3468F25D"/>
    <w:rsid w:val="34DFA882"/>
    <w:rsid w:val="35570D45"/>
    <w:rsid w:val="35C00007"/>
    <w:rsid w:val="35CE9CC6"/>
    <w:rsid w:val="367B78E3"/>
    <w:rsid w:val="36A1C079"/>
    <w:rsid w:val="375994EC"/>
    <w:rsid w:val="37671BC9"/>
    <w:rsid w:val="377801FD"/>
    <w:rsid w:val="37B958EB"/>
    <w:rsid w:val="37C2B99E"/>
    <w:rsid w:val="37FA9A2E"/>
    <w:rsid w:val="3818CD5D"/>
    <w:rsid w:val="382CED1A"/>
    <w:rsid w:val="385DECF1"/>
    <w:rsid w:val="38963B12"/>
    <w:rsid w:val="38C698C3"/>
    <w:rsid w:val="39081EA3"/>
    <w:rsid w:val="39246738"/>
    <w:rsid w:val="3985FDBB"/>
    <w:rsid w:val="39F4B208"/>
    <w:rsid w:val="3A36950B"/>
    <w:rsid w:val="3A41FFB1"/>
    <w:rsid w:val="3A59A498"/>
    <w:rsid w:val="3A9CDE04"/>
    <w:rsid w:val="3ACC53EE"/>
    <w:rsid w:val="3AD159AE"/>
    <w:rsid w:val="3B5F5988"/>
    <w:rsid w:val="3B795345"/>
    <w:rsid w:val="3B820386"/>
    <w:rsid w:val="3BFF7E1F"/>
    <w:rsid w:val="3C2358F1"/>
    <w:rsid w:val="3C75DD3B"/>
    <w:rsid w:val="3C75E507"/>
    <w:rsid w:val="3CF142E3"/>
    <w:rsid w:val="3D6C1618"/>
    <w:rsid w:val="3D70040B"/>
    <w:rsid w:val="3DB47A40"/>
    <w:rsid w:val="3DC10AB3"/>
    <w:rsid w:val="3DFDA1DF"/>
    <w:rsid w:val="3E10730A"/>
    <w:rsid w:val="3E121FC9"/>
    <w:rsid w:val="3E29A511"/>
    <w:rsid w:val="3E7F404D"/>
    <w:rsid w:val="3E929A55"/>
    <w:rsid w:val="3EA4CEB1"/>
    <w:rsid w:val="3EF57651"/>
    <w:rsid w:val="3EF90C66"/>
    <w:rsid w:val="3F608DEB"/>
    <w:rsid w:val="3F70BE61"/>
    <w:rsid w:val="3F97EA10"/>
    <w:rsid w:val="3FAD55FD"/>
    <w:rsid w:val="405EAFF0"/>
    <w:rsid w:val="40DEC767"/>
    <w:rsid w:val="41099EFB"/>
    <w:rsid w:val="4148EBB6"/>
    <w:rsid w:val="4172955F"/>
    <w:rsid w:val="4182C9D5"/>
    <w:rsid w:val="41ED1512"/>
    <w:rsid w:val="41EEA221"/>
    <w:rsid w:val="42155F7A"/>
    <w:rsid w:val="4216811F"/>
    <w:rsid w:val="422D1647"/>
    <w:rsid w:val="427FCE5D"/>
    <w:rsid w:val="42A5D718"/>
    <w:rsid w:val="42C02BA9"/>
    <w:rsid w:val="4303CF59"/>
    <w:rsid w:val="433C58CB"/>
    <w:rsid w:val="43591C05"/>
    <w:rsid w:val="437F77BA"/>
    <w:rsid w:val="43E60F50"/>
    <w:rsid w:val="440F192F"/>
    <w:rsid w:val="442F0A4C"/>
    <w:rsid w:val="444D64CF"/>
    <w:rsid w:val="4456ECCD"/>
    <w:rsid w:val="449FE216"/>
    <w:rsid w:val="44C3913C"/>
    <w:rsid w:val="451E2372"/>
    <w:rsid w:val="45A82A30"/>
    <w:rsid w:val="45D83C87"/>
    <w:rsid w:val="4619FB50"/>
    <w:rsid w:val="461F7352"/>
    <w:rsid w:val="46BAA8B7"/>
    <w:rsid w:val="47191428"/>
    <w:rsid w:val="473F10C1"/>
    <w:rsid w:val="47473A87"/>
    <w:rsid w:val="474EEE1F"/>
    <w:rsid w:val="474F9793"/>
    <w:rsid w:val="475F71B6"/>
    <w:rsid w:val="47620035"/>
    <w:rsid w:val="47ADA522"/>
    <w:rsid w:val="47E65C7E"/>
    <w:rsid w:val="47F6B4E5"/>
    <w:rsid w:val="4802CF5A"/>
    <w:rsid w:val="485EBE69"/>
    <w:rsid w:val="48781D61"/>
    <w:rsid w:val="4895C14D"/>
    <w:rsid w:val="48E1B0C8"/>
    <w:rsid w:val="48E28A52"/>
    <w:rsid w:val="49086239"/>
    <w:rsid w:val="4927188F"/>
    <w:rsid w:val="495DD456"/>
    <w:rsid w:val="4970DE54"/>
    <w:rsid w:val="498BE9BE"/>
    <w:rsid w:val="4A0013E1"/>
    <w:rsid w:val="4A2C9CDE"/>
    <w:rsid w:val="4A4BBA39"/>
    <w:rsid w:val="4A68826D"/>
    <w:rsid w:val="4A7E5AB3"/>
    <w:rsid w:val="4ADEBEBD"/>
    <w:rsid w:val="4B3FA1DE"/>
    <w:rsid w:val="4BA7DC87"/>
    <w:rsid w:val="4BCA1D9C"/>
    <w:rsid w:val="4BDB634C"/>
    <w:rsid w:val="4C292FF9"/>
    <w:rsid w:val="4C79022D"/>
    <w:rsid w:val="4C88C257"/>
    <w:rsid w:val="4CD37B0B"/>
    <w:rsid w:val="4DF9E8A6"/>
    <w:rsid w:val="4E14FA00"/>
    <w:rsid w:val="4E28DB90"/>
    <w:rsid w:val="4E439197"/>
    <w:rsid w:val="4EB21363"/>
    <w:rsid w:val="4F9ACE1A"/>
    <w:rsid w:val="4FED66F1"/>
    <w:rsid w:val="4FF77F86"/>
    <w:rsid w:val="4FFCB40F"/>
    <w:rsid w:val="502790B8"/>
    <w:rsid w:val="507ED79B"/>
    <w:rsid w:val="50824381"/>
    <w:rsid w:val="514177DF"/>
    <w:rsid w:val="51610BD9"/>
    <w:rsid w:val="516B1F7B"/>
    <w:rsid w:val="51BB72DA"/>
    <w:rsid w:val="52105617"/>
    <w:rsid w:val="523D3CC5"/>
    <w:rsid w:val="52B14A45"/>
    <w:rsid w:val="52C14C5B"/>
    <w:rsid w:val="52E02DF1"/>
    <w:rsid w:val="52F02DA4"/>
    <w:rsid w:val="52F0751C"/>
    <w:rsid w:val="5309AF37"/>
    <w:rsid w:val="5384A345"/>
    <w:rsid w:val="54DE2324"/>
    <w:rsid w:val="55011069"/>
    <w:rsid w:val="557720F3"/>
    <w:rsid w:val="5578F5CD"/>
    <w:rsid w:val="55A02E6A"/>
    <w:rsid w:val="55BB94C7"/>
    <w:rsid w:val="55E167D3"/>
    <w:rsid w:val="55EC3081"/>
    <w:rsid w:val="55EF8DEC"/>
    <w:rsid w:val="56235CE7"/>
    <w:rsid w:val="56461070"/>
    <w:rsid w:val="5654AF87"/>
    <w:rsid w:val="56B3EB9B"/>
    <w:rsid w:val="56FF9FFA"/>
    <w:rsid w:val="57144883"/>
    <w:rsid w:val="576E4F52"/>
    <w:rsid w:val="587E1DC0"/>
    <w:rsid w:val="588FACA2"/>
    <w:rsid w:val="58DF9EB0"/>
    <w:rsid w:val="5916E0F3"/>
    <w:rsid w:val="5A48D97C"/>
    <w:rsid w:val="5A8E0F68"/>
    <w:rsid w:val="5AA6CAD7"/>
    <w:rsid w:val="5AB1371C"/>
    <w:rsid w:val="5ABFC397"/>
    <w:rsid w:val="5ACAC855"/>
    <w:rsid w:val="5AFD0682"/>
    <w:rsid w:val="5BCD9FD4"/>
    <w:rsid w:val="5C0D4A6D"/>
    <w:rsid w:val="5C21FBB3"/>
    <w:rsid w:val="5C46B524"/>
    <w:rsid w:val="5C650BB8"/>
    <w:rsid w:val="5C6AA83A"/>
    <w:rsid w:val="5CBCC406"/>
    <w:rsid w:val="5CCA6D97"/>
    <w:rsid w:val="5D159723"/>
    <w:rsid w:val="5D79FF61"/>
    <w:rsid w:val="5DE25C84"/>
    <w:rsid w:val="5E18BF61"/>
    <w:rsid w:val="5E3304F3"/>
    <w:rsid w:val="5E7F81F1"/>
    <w:rsid w:val="5EB0A663"/>
    <w:rsid w:val="5EF16680"/>
    <w:rsid w:val="5F261830"/>
    <w:rsid w:val="5F5D6009"/>
    <w:rsid w:val="5FA303B8"/>
    <w:rsid w:val="5FA8523C"/>
    <w:rsid w:val="5FE608CC"/>
    <w:rsid w:val="60A163B3"/>
    <w:rsid w:val="60BCD888"/>
    <w:rsid w:val="60FF24A4"/>
    <w:rsid w:val="6117AF25"/>
    <w:rsid w:val="61390CB4"/>
    <w:rsid w:val="6168196A"/>
    <w:rsid w:val="61ED3014"/>
    <w:rsid w:val="61F04915"/>
    <w:rsid w:val="624DA90A"/>
    <w:rsid w:val="62593955"/>
    <w:rsid w:val="62C42D16"/>
    <w:rsid w:val="630F4E2C"/>
    <w:rsid w:val="632EF732"/>
    <w:rsid w:val="63508394"/>
    <w:rsid w:val="63C472B9"/>
    <w:rsid w:val="63CED0D6"/>
    <w:rsid w:val="63D4AA4A"/>
    <w:rsid w:val="646623F2"/>
    <w:rsid w:val="6475B11F"/>
    <w:rsid w:val="648BF7C2"/>
    <w:rsid w:val="64AA5293"/>
    <w:rsid w:val="64E162F1"/>
    <w:rsid w:val="65715936"/>
    <w:rsid w:val="658567FA"/>
    <w:rsid w:val="659FF94D"/>
    <w:rsid w:val="65F65B35"/>
    <w:rsid w:val="6601D4E8"/>
    <w:rsid w:val="661F814D"/>
    <w:rsid w:val="6636255C"/>
    <w:rsid w:val="663814CA"/>
    <w:rsid w:val="665B4631"/>
    <w:rsid w:val="66694BC4"/>
    <w:rsid w:val="6671125E"/>
    <w:rsid w:val="66947479"/>
    <w:rsid w:val="6699251C"/>
    <w:rsid w:val="66D20DD0"/>
    <w:rsid w:val="66E57770"/>
    <w:rsid w:val="66E83BB1"/>
    <w:rsid w:val="67290A6E"/>
    <w:rsid w:val="67B4B7EC"/>
    <w:rsid w:val="67CAFC81"/>
    <w:rsid w:val="67E40528"/>
    <w:rsid w:val="67FFF221"/>
    <w:rsid w:val="6801882F"/>
    <w:rsid w:val="68103B09"/>
    <w:rsid w:val="68404320"/>
    <w:rsid w:val="6884CE09"/>
    <w:rsid w:val="68A3C7B1"/>
    <w:rsid w:val="6934F243"/>
    <w:rsid w:val="6941C6DC"/>
    <w:rsid w:val="694D81C9"/>
    <w:rsid w:val="69541B0A"/>
    <w:rsid w:val="698CB218"/>
    <w:rsid w:val="6995ACB8"/>
    <w:rsid w:val="69C03AA4"/>
    <w:rsid w:val="69E81F82"/>
    <w:rsid w:val="6A50081F"/>
    <w:rsid w:val="6A5A07DB"/>
    <w:rsid w:val="6A8695B6"/>
    <w:rsid w:val="6ABFD126"/>
    <w:rsid w:val="6AC9AAF0"/>
    <w:rsid w:val="6AD0C2A4"/>
    <w:rsid w:val="6B0F23C5"/>
    <w:rsid w:val="6B760556"/>
    <w:rsid w:val="6BE6C3E7"/>
    <w:rsid w:val="6BE995F9"/>
    <w:rsid w:val="6C1E2F48"/>
    <w:rsid w:val="6C31A9A2"/>
    <w:rsid w:val="6C44E3C0"/>
    <w:rsid w:val="6C72C880"/>
    <w:rsid w:val="6C983897"/>
    <w:rsid w:val="6CB2EA29"/>
    <w:rsid w:val="6CDE20FE"/>
    <w:rsid w:val="6D6C9319"/>
    <w:rsid w:val="6D7A7127"/>
    <w:rsid w:val="6D7EA266"/>
    <w:rsid w:val="6DB52DA7"/>
    <w:rsid w:val="6DBFE7E4"/>
    <w:rsid w:val="6DE2534A"/>
    <w:rsid w:val="6E039881"/>
    <w:rsid w:val="6E1622E7"/>
    <w:rsid w:val="6E4F7FDC"/>
    <w:rsid w:val="6E5489CB"/>
    <w:rsid w:val="6E8330E7"/>
    <w:rsid w:val="6ED8549B"/>
    <w:rsid w:val="6EEE7145"/>
    <w:rsid w:val="6F274645"/>
    <w:rsid w:val="6FA433C7"/>
    <w:rsid w:val="6FB17664"/>
    <w:rsid w:val="6FD4400D"/>
    <w:rsid w:val="6FE20924"/>
    <w:rsid w:val="6FE4F3F9"/>
    <w:rsid w:val="7044E965"/>
    <w:rsid w:val="70591D1C"/>
    <w:rsid w:val="70609B86"/>
    <w:rsid w:val="707AAB8D"/>
    <w:rsid w:val="708311F6"/>
    <w:rsid w:val="708BFC49"/>
    <w:rsid w:val="70D1DD2E"/>
    <w:rsid w:val="70D8E522"/>
    <w:rsid w:val="70F9FAAC"/>
    <w:rsid w:val="712ABDA1"/>
    <w:rsid w:val="713B9D91"/>
    <w:rsid w:val="714DA30A"/>
    <w:rsid w:val="7188EB93"/>
    <w:rsid w:val="71AAF029"/>
    <w:rsid w:val="71C261F0"/>
    <w:rsid w:val="721D4DA3"/>
    <w:rsid w:val="72358722"/>
    <w:rsid w:val="724CD070"/>
    <w:rsid w:val="726D0746"/>
    <w:rsid w:val="729CF9DC"/>
    <w:rsid w:val="72AF08DD"/>
    <w:rsid w:val="72C9AE10"/>
    <w:rsid w:val="7358D826"/>
    <w:rsid w:val="73615D2C"/>
    <w:rsid w:val="73974FE9"/>
    <w:rsid w:val="73983C48"/>
    <w:rsid w:val="73B1A579"/>
    <w:rsid w:val="73B60357"/>
    <w:rsid w:val="73EFAF4A"/>
    <w:rsid w:val="74233AA6"/>
    <w:rsid w:val="742B7409"/>
    <w:rsid w:val="744C35BD"/>
    <w:rsid w:val="74A7E503"/>
    <w:rsid w:val="74CE03F9"/>
    <w:rsid w:val="74E02E85"/>
    <w:rsid w:val="74E5D999"/>
    <w:rsid w:val="7514978F"/>
    <w:rsid w:val="75538227"/>
    <w:rsid w:val="755B273D"/>
    <w:rsid w:val="75AD8C25"/>
    <w:rsid w:val="75CCD449"/>
    <w:rsid w:val="75FD09ED"/>
    <w:rsid w:val="7641B66F"/>
    <w:rsid w:val="7646589E"/>
    <w:rsid w:val="7657ACFD"/>
    <w:rsid w:val="76979407"/>
    <w:rsid w:val="76B99069"/>
    <w:rsid w:val="76C833DA"/>
    <w:rsid w:val="77399988"/>
    <w:rsid w:val="77407869"/>
    <w:rsid w:val="7763152B"/>
    <w:rsid w:val="776B7DF4"/>
    <w:rsid w:val="7773A747"/>
    <w:rsid w:val="778B7AC3"/>
    <w:rsid w:val="779CCE58"/>
    <w:rsid w:val="77EAAF4B"/>
    <w:rsid w:val="7867AE76"/>
    <w:rsid w:val="78A8EAC5"/>
    <w:rsid w:val="78DDA503"/>
    <w:rsid w:val="78E7B855"/>
    <w:rsid w:val="7959ABFC"/>
    <w:rsid w:val="79B84426"/>
    <w:rsid w:val="7AB3A0F3"/>
    <w:rsid w:val="7AB7C2C2"/>
    <w:rsid w:val="7AD21256"/>
    <w:rsid w:val="7AD5C25C"/>
    <w:rsid w:val="7B0ABB21"/>
    <w:rsid w:val="7BBBF6F6"/>
    <w:rsid w:val="7BF6CF51"/>
    <w:rsid w:val="7BFA3450"/>
    <w:rsid w:val="7C13E98C"/>
    <w:rsid w:val="7C46F279"/>
    <w:rsid w:val="7C622301"/>
    <w:rsid w:val="7D263D0F"/>
    <w:rsid w:val="7DC421A4"/>
    <w:rsid w:val="7DE195BF"/>
    <w:rsid w:val="7DEBAC7F"/>
    <w:rsid w:val="7E80AB69"/>
    <w:rsid w:val="7E9BB864"/>
    <w:rsid w:val="7ED05105"/>
    <w:rsid w:val="7EFD9CDC"/>
    <w:rsid w:val="7F239868"/>
    <w:rsid w:val="7F28DC47"/>
    <w:rsid w:val="7F48F801"/>
    <w:rsid w:val="7FB7EB75"/>
    <w:rsid w:val="7FC4CA10"/>
    <w:rsid w:val="7FC7F1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97CA"/>
  <w15:chartTrackingRefBased/>
  <w15:docId w15:val="{32EFE875-2D01-4D83-9136-29B5B1A6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136"/>
    <w:pPr>
      <w:tabs>
        <w:tab w:val="center" w:pos="4677"/>
        <w:tab w:val="right" w:pos="9355"/>
      </w:tabs>
      <w:spacing w:after="0" w:line="240" w:lineRule="auto"/>
    </w:pPr>
  </w:style>
  <w:style w:type="character" w:customStyle="1" w:styleId="HeaderChar">
    <w:name w:val="Header Char"/>
    <w:basedOn w:val="DefaultParagraphFont"/>
    <w:link w:val="Header"/>
    <w:uiPriority w:val="99"/>
    <w:rsid w:val="00B33136"/>
  </w:style>
  <w:style w:type="paragraph" w:styleId="Footer">
    <w:name w:val="footer"/>
    <w:basedOn w:val="Normal"/>
    <w:link w:val="FooterChar"/>
    <w:uiPriority w:val="99"/>
    <w:unhideWhenUsed/>
    <w:rsid w:val="00B33136"/>
    <w:pPr>
      <w:tabs>
        <w:tab w:val="center" w:pos="4677"/>
        <w:tab w:val="right" w:pos="9355"/>
      </w:tabs>
      <w:spacing w:after="0" w:line="240" w:lineRule="auto"/>
    </w:pPr>
  </w:style>
  <w:style w:type="character" w:customStyle="1" w:styleId="FooterChar">
    <w:name w:val="Footer Char"/>
    <w:basedOn w:val="DefaultParagraphFont"/>
    <w:link w:val="Footer"/>
    <w:uiPriority w:val="99"/>
    <w:rsid w:val="00B33136"/>
  </w:style>
  <w:style w:type="character" w:customStyle="1" w:styleId="Heading1Char">
    <w:name w:val="Heading 1 Char"/>
    <w:basedOn w:val="DefaultParagraphFont"/>
    <w:link w:val="Heading1"/>
    <w:uiPriority w:val="9"/>
    <w:rsid w:val="00D84D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4D2D"/>
    <w:pPr>
      <w:outlineLvl w:val="9"/>
    </w:pPr>
    <w:rPr>
      <w:kern w:val="0"/>
      <w14:ligatures w14:val="none"/>
    </w:rPr>
  </w:style>
  <w:style w:type="paragraph" w:styleId="ListParagraph">
    <w:name w:val="List Paragraph"/>
    <w:basedOn w:val="Normal"/>
    <w:uiPriority w:val="34"/>
    <w:qFormat/>
    <w:rsid w:val="00D84D2D"/>
    <w:pPr>
      <w:ind w:left="720"/>
      <w:contextualSpacing/>
    </w:pPr>
  </w:style>
  <w:style w:type="character" w:styleId="CommentReference">
    <w:name w:val="annotation reference"/>
    <w:basedOn w:val="DefaultParagraphFont"/>
    <w:uiPriority w:val="99"/>
    <w:semiHidden/>
    <w:unhideWhenUsed/>
    <w:rsid w:val="00100A85"/>
    <w:rPr>
      <w:sz w:val="16"/>
      <w:szCs w:val="16"/>
    </w:rPr>
  </w:style>
  <w:style w:type="paragraph" w:styleId="CommentText">
    <w:name w:val="annotation text"/>
    <w:basedOn w:val="Normal"/>
    <w:link w:val="CommentTextChar"/>
    <w:uiPriority w:val="99"/>
    <w:unhideWhenUsed/>
    <w:rsid w:val="00100A85"/>
    <w:pPr>
      <w:spacing w:line="240" w:lineRule="auto"/>
    </w:pPr>
    <w:rPr>
      <w:sz w:val="20"/>
      <w:szCs w:val="20"/>
    </w:rPr>
  </w:style>
  <w:style w:type="character" w:customStyle="1" w:styleId="CommentTextChar">
    <w:name w:val="Comment Text Char"/>
    <w:basedOn w:val="DefaultParagraphFont"/>
    <w:link w:val="CommentText"/>
    <w:uiPriority w:val="99"/>
    <w:rsid w:val="00100A85"/>
    <w:rPr>
      <w:sz w:val="20"/>
      <w:szCs w:val="20"/>
    </w:rPr>
  </w:style>
  <w:style w:type="paragraph" w:styleId="CommentSubject">
    <w:name w:val="annotation subject"/>
    <w:basedOn w:val="CommentText"/>
    <w:next w:val="CommentText"/>
    <w:link w:val="CommentSubjectChar"/>
    <w:uiPriority w:val="99"/>
    <w:semiHidden/>
    <w:unhideWhenUsed/>
    <w:rsid w:val="000163FB"/>
    <w:rPr>
      <w:b/>
      <w:bCs/>
    </w:rPr>
  </w:style>
  <w:style w:type="character" w:customStyle="1" w:styleId="CommentSubjectChar">
    <w:name w:val="Comment Subject Char"/>
    <w:basedOn w:val="CommentTextChar"/>
    <w:link w:val="CommentSubject"/>
    <w:uiPriority w:val="99"/>
    <w:semiHidden/>
    <w:rsid w:val="000163FB"/>
    <w:rPr>
      <w:b/>
      <w:bCs/>
      <w:sz w:val="20"/>
      <w:szCs w:val="20"/>
    </w:rPr>
  </w:style>
  <w:style w:type="paragraph" w:styleId="TOC1">
    <w:name w:val="toc 1"/>
    <w:basedOn w:val="Normal"/>
    <w:next w:val="Normal"/>
    <w:autoRedefine/>
    <w:uiPriority w:val="39"/>
    <w:unhideWhenUsed/>
    <w:rsid w:val="005F6190"/>
    <w:pPr>
      <w:tabs>
        <w:tab w:val="left" w:pos="440"/>
        <w:tab w:val="right" w:leader="dot" w:pos="9345"/>
      </w:tabs>
      <w:spacing w:after="100"/>
    </w:pPr>
  </w:style>
  <w:style w:type="paragraph" w:styleId="TOC2">
    <w:name w:val="toc 2"/>
    <w:basedOn w:val="Normal"/>
    <w:next w:val="Normal"/>
    <w:autoRedefine/>
    <w:uiPriority w:val="39"/>
    <w:unhideWhenUsed/>
    <w:rsid w:val="003B475F"/>
    <w:pPr>
      <w:tabs>
        <w:tab w:val="left" w:pos="660"/>
        <w:tab w:val="right" w:leader="dot" w:pos="9345"/>
      </w:tabs>
      <w:spacing w:after="100"/>
      <w:ind w:left="220"/>
    </w:pPr>
  </w:style>
  <w:style w:type="character" w:styleId="Hyperlink">
    <w:name w:val="Hyperlink"/>
    <w:basedOn w:val="DefaultParagraphFont"/>
    <w:uiPriority w:val="99"/>
    <w:unhideWhenUsed/>
    <w:rsid w:val="00C461EE"/>
    <w:rPr>
      <w:color w:val="0563C1" w:themeColor="hyperlink"/>
      <w:u w:val="single"/>
    </w:rPr>
  </w:style>
  <w:style w:type="paragraph" w:styleId="Revision">
    <w:name w:val="Revision"/>
    <w:hidden/>
    <w:uiPriority w:val="99"/>
    <w:semiHidden/>
    <w:rsid w:val="008D28F7"/>
    <w:pPr>
      <w:spacing w:after="0" w:line="240" w:lineRule="auto"/>
    </w:pPr>
  </w:style>
  <w:style w:type="paragraph" w:styleId="FootnoteText">
    <w:name w:val="footnote text"/>
    <w:basedOn w:val="Normal"/>
    <w:link w:val="FootnoteTextChar"/>
    <w:uiPriority w:val="99"/>
    <w:semiHidden/>
    <w:unhideWhenUsed/>
    <w:rsid w:val="000D74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424"/>
    <w:rPr>
      <w:sz w:val="20"/>
      <w:szCs w:val="20"/>
    </w:rPr>
  </w:style>
  <w:style w:type="character" w:styleId="FootnoteReference">
    <w:name w:val="footnote reference"/>
    <w:basedOn w:val="DefaultParagraphFont"/>
    <w:uiPriority w:val="99"/>
    <w:semiHidden/>
    <w:unhideWhenUsed/>
    <w:rsid w:val="000D7424"/>
    <w:rPr>
      <w:vertAlign w:val="superscript"/>
    </w:rPr>
  </w:style>
  <w:style w:type="character" w:customStyle="1" w:styleId="css-96zuhp-word-diff">
    <w:name w:val="css-96zuhp-word-diff"/>
    <w:basedOn w:val="DefaultParagraphFont"/>
    <w:rsid w:val="00F94980"/>
  </w:style>
  <w:style w:type="table" w:styleId="TableGrid">
    <w:name w:val="Table Grid"/>
    <w:basedOn w:val="TableNormal"/>
    <w:uiPriority w:val="39"/>
    <w:rsid w:val="00655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C04"/>
    <w:rPr>
      <w:rFonts w:ascii="Segoe UI" w:hAnsi="Segoe UI" w:cs="Segoe UI"/>
      <w:sz w:val="18"/>
      <w:szCs w:val="18"/>
    </w:rPr>
  </w:style>
  <w:style w:type="character" w:customStyle="1" w:styleId="ui-provider">
    <w:name w:val="ui-provider"/>
    <w:basedOn w:val="DefaultParagraphFont"/>
    <w:rsid w:val="006812CD"/>
  </w:style>
  <w:style w:type="character" w:styleId="Mention">
    <w:name w:val="Mention"/>
    <w:basedOn w:val="DefaultParagraphFont"/>
    <w:uiPriority w:val="99"/>
    <w:unhideWhenUsed/>
    <w:rsid w:val="00492980"/>
    <w:rPr>
      <w:color w:val="2B579A"/>
      <w:shd w:val="clear" w:color="auto" w:fill="E1DFDD"/>
    </w:rPr>
  </w:style>
  <w:style w:type="character" w:styleId="PlaceholderText">
    <w:name w:val="Placeholder Text"/>
    <w:basedOn w:val="DefaultParagraphFont"/>
    <w:uiPriority w:val="99"/>
    <w:semiHidden/>
    <w:rsid w:val="007B3F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8985">
      <w:bodyDiv w:val="1"/>
      <w:marLeft w:val="0"/>
      <w:marRight w:val="0"/>
      <w:marTop w:val="0"/>
      <w:marBottom w:val="0"/>
      <w:divBdr>
        <w:top w:val="none" w:sz="0" w:space="0" w:color="auto"/>
        <w:left w:val="none" w:sz="0" w:space="0" w:color="auto"/>
        <w:bottom w:val="none" w:sz="0" w:space="0" w:color="auto"/>
        <w:right w:val="none" w:sz="0" w:space="0" w:color="auto"/>
      </w:divBdr>
      <w:divsChild>
        <w:div w:id="2113281630">
          <w:marLeft w:val="0"/>
          <w:marRight w:val="0"/>
          <w:marTop w:val="0"/>
          <w:marBottom w:val="0"/>
          <w:divBdr>
            <w:top w:val="none" w:sz="0" w:space="0" w:color="auto"/>
            <w:left w:val="none" w:sz="0" w:space="0" w:color="auto"/>
            <w:bottom w:val="none" w:sz="0" w:space="0" w:color="auto"/>
            <w:right w:val="none" w:sz="0" w:space="0" w:color="auto"/>
          </w:divBdr>
        </w:div>
      </w:divsChild>
    </w:div>
    <w:div w:id="601380879">
      <w:bodyDiv w:val="1"/>
      <w:marLeft w:val="0"/>
      <w:marRight w:val="0"/>
      <w:marTop w:val="0"/>
      <w:marBottom w:val="0"/>
      <w:divBdr>
        <w:top w:val="none" w:sz="0" w:space="0" w:color="auto"/>
        <w:left w:val="none" w:sz="0" w:space="0" w:color="auto"/>
        <w:bottom w:val="none" w:sz="0" w:space="0" w:color="auto"/>
        <w:right w:val="none" w:sz="0" w:space="0" w:color="auto"/>
      </w:divBdr>
      <w:divsChild>
        <w:div w:id="1680811969">
          <w:marLeft w:val="0"/>
          <w:marRight w:val="0"/>
          <w:marTop w:val="0"/>
          <w:marBottom w:val="0"/>
          <w:divBdr>
            <w:top w:val="none" w:sz="0" w:space="0" w:color="auto"/>
            <w:left w:val="none" w:sz="0" w:space="0" w:color="auto"/>
            <w:bottom w:val="none" w:sz="0" w:space="0" w:color="auto"/>
            <w:right w:val="none" w:sz="0" w:space="0" w:color="auto"/>
          </w:divBdr>
        </w:div>
      </w:divsChild>
    </w:div>
    <w:div w:id="1047417904">
      <w:bodyDiv w:val="1"/>
      <w:marLeft w:val="0"/>
      <w:marRight w:val="0"/>
      <w:marTop w:val="0"/>
      <w:marBottom w:val="0"/>
      <w:divBdr>
        <w:top w:val="none" w:sz="0" w:space="0" w:color="auto"/>
        <w:left w:val="none" w:sz="0" w:space="0" w:color="auto"/>
        <w:bottom w:val="none" w:sz="0" w:space="0" w:color="auto"/>
        <w:right w:val="none" w:sz="0" w:space="0" w:color="auto"/>
      </w:divBdr>
      <w:divsChild>
        <w:div w:id="1170408106">
          <w:marLeft w:val="0"/>
          <w:marRight w:val="0"/>
          <w:marTop w:val="0"/>
          <w:marBottom w:val="0"/>
          <w:divBdr>
            <w:top w:val="none" w:sz="0" w:space="0" w:color="auto"/>
            <w:left w:val="none" w:sz="0" w:space="0" w:color="auto"/>
            <w:bottom w:val="none" w:sz="0" w:space="0" w:color="auto"/>
            <w:right w:val="none" w:sz="0" w:space="0" w:color="auto"/>
          </w:divBdr>
        </w:div>
      </w:divsChild>
    </w:div>
    <w:div w:id="1267540568">
      <w:bodyDiv w:val="1"/>
      <w:marLeft w:val="0"/>
      <w:marRight w:val="0"/>
      <w:marTop w:val="0"/>
      <w:marBottom w:val="0"/>
      <w:divBdr>
        <w:top w:val="none" w:sz="0" w:space="0" w:color="auto"/>
        <w:left w:val="none" w:sz="0" w:space="0" w:color="auto"/>
        <w:bottom w:val="none" w:sz="0" w:space="0" w:color="auto"/>
        <w:right w:val="none" w:sz="0" w:space="0" w:color="auto"/>
      </w:divBdr>
      <w:divsChild>
        <w:div w:id="223222860">
          <w:marLeft w:val="0"/>
          <w:marRight w:val="0"/>
          <w:marTop w:val="0"/>
          <w:marBottom w:val="0"/>
          <w:divBdr>
            <w:top w:val="none" w:sz="0" w:space="0" w:color="auto"/>
            <w:left w:val="none" w:sz="0" w:space="0" w:color="auto"/>
            <w:bottom w:val="none" w:sz="0" w:space="0" w:color="auto"/>
            <w:right w:val="none" w:sz="0" w:space="0" w:color="auto"/>
          </w:divBdr>
        </w:div>
        <w:div w:id="437334851">
          <w:marLeft w:val="0"/>
          <w:marRight w:val="0"/>
          <w:marTop w:val="0"/>
          <w:marBottom w:val="0"/>
          <w:divBdr>
            <w:top w:val="none" w:sz="0" w:space="0" w:color="auto"/>
            <w:left w:val="none" w:sz="0" w:space="0" w:color="auto"/>
            <w:bottom w:val="none" w:sz="0" w:space="0" w:color="auto"/>
            <w:right w:val="none" w:sz="0" w:space="0" w:color="auto"/>
          </w:divBdr>
        </w:div>
        <w:div w:id="456870574">
          <w:marLeft w:val="0"/>
          <w:marRight w:val="0"/>
          <w:marTop w:val="0"/>
          <w:marBottom w:val="0"/>
          <w:divBdr>
            <w:top w:val="none" w:sz="0" w:space="0" w:color="auto"/>
            <w:left w:val="none" w:sz="0" w:space="0" w:color="auto"/>
            <w:bottom w:val="none" w:sz="0" w:space="0" w:color="auto"/>
            <w:right w:val="none" w:sz="0" w:space="0" w:color="auto"/>
          </w:divBdr>
        </w:div>
        <w:div w:id="949581290">
          <w:marLeft w:val="0"/>
          <w:marRight w:val="0"/>
          <w:marTop w:val="0"/>
          <w:marBottom w:val="0"/>
          <w:divBdr>
            <w:top w:val="none" w:sz="0" w:space="0" w:color="auto"/>
            <w:left w:val="none" w:sz="0" w:space="0" w:color="auto"/>
            <w:bottom w:val="none" w:sz="0" w:space="0" w:color="auto"/>
            <w:right w:val="none" w:sz="0" w:space="0" w:color="auto"/>
          </w:divBdr>
        </w:div>
        <w:div w:id="1453786499">
          <w:marLeft w:val="0"/>
          <w:marRight w:val="0"/>
          <w:marTop w:val="0"/>
          <w:marBottom w:val="0"/>
          <w:divBdr>
            <w:top w:val="none" w:sz="0" w:space="0" w:color="auto"/>
            <w:left w:val="none" w:sz="0" w:space="0" w:color="auto"/>
            <w:bottom w:val="none" w:sz="0" w:space="0" w:color="auto"/>
            <w:right w:val="none" w:sz="0" w:space="0" w:color="auto"/>
          </w:divBdr>
        </w:div>
        <w:div w:id="1693410386">
          <w:marLeft w:val="0"/>
          <w:marRight w:val="0"/>
          <w:marTop w:val="0"/>
          <w:marBottom w:val="0"/>
          <w:divBdr>
            <w:top w:val="none" w:sz="0" w:space="0" w:color="auto"/>
            <w:left w:val="none" w:sz="0" w:space="0" w:color="auto"/>
            <w:bottom w:val="none" w:sz="0" w:space="0" w:color="auto"/>
            <w:right w:val="none" w:sz="0" w:space="0" w:color="auto"/>
          </w:divBdr>
        </w:div>
      </w:divsChild>
    </w:div>
    <w:div w:id="1545167742">
      <w:bodyDiv w:val="1"/>
      <w:marLeft w:val="0"/>
      <w:marRight w:val="0"/>
      <w:marTop w:val="0"/>
      <w:marBottom w:val="0"/>
      <w:divBdr>
        <w:top w:val="none" w:sz="0" w:space="0" w:color="auto"/>
        <w:left w:val="none" w:sz="0" w:space="0" w:color="auto"/>
        <w:bottom w:val="none" w:sz="0" w:space="0" w:color="auto"/>
        <w:right w:val="none" w:sz="0" w:space="0" w:color="auto"/>
      </w:divBdr>
    </w:div>
    <w:div w:id="1723021635">
      <w:bodyDiv w:val="1"/>
      <w:marLeft w:val="0"/>
      <w:marRight w:val="0"/>
      <w:marTop w:val="0"/>
      <w:marBottom w:val="0"/>
      <w:divBdr>
        <w:top w:val="none" w:sz="0" w:space="0" w:color="auto"/>
        <w:left w:val="none" w:sz="0" w:space="0" w:color="auto"/>
        <w:bottom w:val="none" w:sz="0" w:space="0" w:color="auto"/>
        <w:right w:val="none" w:sz="0" w:space="0" w:color="auto"/>
      </w:divBdr>
      <w:divsChild>
        <w:div w:id="223028159">
          <w:marLeft w:val="0"/>
          <w:marRight w:val="0"/>
          <w:marTop w:val="0"/>
          <w:marBottom w:val="0"/>
          <w:divBdr>
            <w:top w:val="none" w:sz="0" w:space="0" w:color="auto"/>
            <w:left w:val="none" w:sz="0" w:space="0" w:color="auto"/>
            <w:bottom w:val="none" w:sz="0" w:space="0" w:color="auto"/>
            <w:right w:val="none" w:sz="0" w:space="0" w:color="auto"/>
          </w:divBdr>
        </w:div>
      </w:divsChild>
    </w:div>
    <w:div w:id="1726679390">
      <w:bodyDiv w:val="1"/>
      <w:marLeft w:val="0"/>
      <w:marRight w:val="0"/>
      <w:marTop w:val="0"/>
      <w:marBottom w:val="0"/>
      <w:divBdr>
        <w:top w:val="none" w:sz="0" w:space="0" w:color="auto"/>
        <w:left w:val="none" w:sz="0" w:space="0" w:color="auto"/>
        <w:bottom w:val="none" w:sz="0" w:space="0" w:color="auto"/>
        <w:right w:val="none" w:sz="0" w:space="0" w:color="auto"/>
      </w:divBdr>
      <w:divsChild>
        <w:div w:id="208877614">
          <w:marLeft w:val="0"/>
          <w:marRight w:val="0"/>
          <w:marTop w:val="0"/>
          <w:marBottom w:val="0"/>
          <w:divBdr>
            <w:top w:val="none" w:sz="0" w:space="0" w:color="auto"/>
            <w:left w:val="none" w:sz="0" w:space="0" w:color="auto"/>
            <w:bottom w:val="none" w:sz="0" w:space="0" w:color="auto"/>
            <w:right w:val="none" w:sz="0" w:space="0" w:color="auto"/>
          </w:divBdr>
        </w:div>
      </w:divsChild>
    </w:div>
    <w:div w:id="1816289876">
      <w:bodyDiv w:val="1"/>
      <w:marLeft w:val="0"/>
      <w:marRight w:val="0"/>
      <w:marTop w:val="0"/>
      <w:marBottom w:val="0"/>
      <w:divBdr>
        <w:top w:val="none" w:sz="0" w:space="0" w:color="auto"/>
        <w:left w:val="none" w:sz="0" w:space="0" w:color="auto"/>
        <w:bottom w:val="none" w:sz="0" w:space="0" w:color="auto"/>
        <w:right w:val="none" w:sz="0" w:space="0" w:color="auto"/>
      </w:divBdr>
      <w:divsChild>
        <w:div w:id="985007374">
          <w:marLeft w:val="0"/>
          <w:marRight w:val="0"/>
          <w:marTop w:val="0"/>
          <w:marBottom w:val="0"/>
          <w:divBdr>
            <w:top w:val="none" w:sz="0" w:space="0" w:color="auto"/>
            <w:left w:val="none" w:sz="0" w:space="0" w:color="auto"/>
            <w:bottom w:val="none" w:sz="0" w:space="0" w:color="auto"/>
            <w:right w:val="none" w:sz="0" w:space="0" w:color="auto"/>
          </w:divBdr>
        </w:div>
      </w:divsChild>
    </w:div>
    <w:div w:id="1871919411">
      <w:bodyDiv w:val="1"/>
      <w:marLeft w:val="0"/>
      <w:marRight w:val="0"/>
      <w:marTop w:val="0"/>
      <w:marBottom w:val="0"/>
      <w:divBdr>
        <w:top w:val="none" w:sz="0" w:space="0" w:color="auto"/>
        <w:left w:val="none" w:sz="0" w:space="0" w:color="auto"/>
        <w:bottom w:val="none" w:sz="0" w:space="0" w:color="auto"/>
        <w:right w:val="none" w:sz="0" w:space="0" w:color="auto"/>
      </w:divBdr>
      <w:divsChild>
        <w:div w:id="423766402">
          <w:marLeft w:val="0"/>
          <w:marRight w:val="0"/>
          <w:marTop w:val="0"/>
          <w:marBottom w:val="0"/>
          <w:divBdr>
            <w:top w:val="none" w:sz="0" w:space="0" w:color="auto"/>
            <w:left w:val="none" w:sz="0" w:space="0" w:color="auto"/>
            <w:bottom w:val="none" w:sz="0" w:space="0" w:color="auto"/>
            <w:right w:val="none" w:sz="0" w:space="0" w:color="auto"/>
          </w:divBdr>
        </w:div>
      </w:divsChild>
    </w:div>
    <w:div w:id="1959485018">
      <w:bodyDiv w:val="1"/>
      <w:marLeft w:val="0"/>
      <w:marRight w:val="0"/>
      <w:marTop w:val="0"/>
      <w:marBottom w:val="0"/>
      <w:divBdr>
        <w:top w:val="none" w:sz="0" w:space="0" w:color="auto"/>
        <w:left w:val="none" w:sz="0" w:space="0" w:color="auto"/>
        <w:bottom w:val="none" w:sz="0" w:space="0" w:color="auto"/>
        <w:right w:val="none" w:sz="0" w:space="0" w:color="auto"/>
      </w:divBdr>
      <w:divsChild>
        <w:div w:id="11613078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4F7599FA0A748BC4BAAF3B9BBE39A" ma:contentTypeVersion="20" ma:contentTypeDescription="Create a new document." ma:contentTypeScope="" ma:versionID="f326c7d820ee704e829567f18af2164f">
  <xsd:schema xmlns:xsd="http://www.w3.org/2001/XMLSchema" xmlns:xs="http://www.w3.org/2001/XMLSchema" xmlns:p="http://schemas.microsoft.com/office/2006/metadata/properties" xmlns:ns1="http://schemas.microsoft.com/sharepoint/v3" xmlns:ns2="5262ef07-db99-4217-9823-c152905e5a2b" xmlns:ns3="dd4fd8fc-6568-4568-89ac-8df6fc363d34" xmlns:ns4="c062ac5e-2f2b-465a-b8a4-b20e0f4b2802" targetNamespace="http://schemas.microsoft.com/office/2006/metadata/properties" ma:root="true" ma:fieldsID="5ead2f86e08e7890d31e77ec192eabd3" ns1:_="" ns2:_="" ns3:_="" ns4:_="">
    <xsd:import namespace="http://schemas.microsoft.com/sharepoint/v3"/>
    <xsd:import namespace="5262ef07-db99-4217-9823-c152905e5a2b"/>
    <xsd:import namespace="dd4fd8fc-6568-4568-89ac-8df6fc363d34"/>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2ef07-db99-4217-9823-c152905e5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fd8fc-6568-4568-89ac-8df6fc363d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effd299-9438-44ef-bc9d-a76fccfc780c}" ma:internalName="TaxCatchAll" ma:showField="CatchAllData" ma:web="dd4fd8fc-6568-4568-89ac-8df6fc363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062ac5e-2f2b-465a-b8a4-b20e0f4b2802" xsi:nil="true"/>
    <_ip_UnifiedCompliancePolicyProperties xmlns="http://schemas.microsoft.com/sharepoint/v3" xsi:nil="true"/>
    <lcf76f155ced4ddcb4097134ff3c332f xmlns="5262ef07-db99-4217-9823-c152905e5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BD72BE-CCCF-43EE-915D-7621DACD5211}">
  <ds:schemaRefs>
    <ds:schemaRef ds:uri="http://schemas.microsoft.com/sharepoint/v3/contenttype/forms"/>
  </ds:schemaRefs>
</ds:datastoreItem>
</file>

<file path=customXml/itemProps2.xml><?xml version="1.0" encoding="utf-8"?>
<ds:datastoreItem xmlns:ds="http://schemas.openxmlformats.org/officeDocument/2006/customXml" ds:itemID="{8D643C08-194F-4635-935A-4E1ED42FA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62ef07-db99-4217-9823-c152905e5a2b"/>
    <ds:schemaRef ds:uri="dd4fd8fc-6568-4568-89ac-8df6fc363d34"/>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FDCAE-BB78-4709-A70E-9AC1671F76E7}">
  <ds:schemaRefs>
    <ds:schemaRef ds:uri="http://schemas.openxmlformats.org/officeDocument/2006/bibliography"/>
  </ds:schemaRefs>
</ds:datastoreItem>
</file>

<file path=customXml/itemProps4.xml><?xml version="1.0" encoding="utf-8"?>
<ds:datastoreItem xmlns:ds="http://schemas.openxmlformats.org/officeDocument/2006/customXml" ds:itemID="{D94A9518-DFD0-49F2-8917-271898D9B030}">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 ds:uri="5262ef07-db99-4217-9823-c152905e5a2b"/>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2</TotalTime>
  <Pages>41</Pages>
  <Words>9231</Words>
  <Characters>52617</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Alikhan Amirov</dc:creator>
  <cp:keywords/>
  <dc:description/>
  <cp:lastModifiedBy>Dina Turvey</cp:lastModifiedBy>
  <cp:revision>2</cp:revision>
  <dcterms:created xsi:type="dcterms:W3CDTF">2024-09-13T11:17:00Z</dcterms:created>
  <dcterms:modified xsi:type="dcterms:W3CDTF">2024-09-13T11:17:00Z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30f33f70,47b2c9d,ed7ae65</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71a42cc2,313b0622,bec8306</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ContentTypeId">
    <vt:lpwstr>0x0101000634F7599FA0A748BC4BAAF3B9BBE39A</vt:lpwstr>
  </property>
  <property fmtid="{D5CDD505-2E9C-101B-9397-08002B2CF9AE}" pid="9" name="MediaServiceImageTags">
    <vt:lpwstr/>
  </property>
</Properties>
</file>